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cs="黑体"/>
          <w:bCs/>
          <w:color w:val="000000"/>
          <w:sz w:val="36"/>
          <w:szCs w:val="36"/>
        </w:rPr>
      </w:pPr>
      <w:r>
        <w:rPr>
          <w:rFonts w:hint="eastAsia" w:ascii="黑体" w:hAnsi="黑体" w:eastAsia="黑体" w:cs="黑体"/>
          <w:bCs/>
          <w:color w:val="000000"/>
          <w:sz w:val="36"/>
          <w:szCs w:val="36"/>
        </w:rPr>
        <w:t>团体标准《甜瓜断根嫁接育苗技术规程》</w:t>
      </w:r>
    </w:p>
    <w:p>
      <w:pPr>
        <w:jc w:val="center"/>
        <w:rPr>
          <w:rFonts w:ascii="黑体" w:hAnsi="黑体" w:eastAsia="黑体" w:cs="黑体"/>
          <w:bCs/>
          <w:sz w:val="36"/>
          <w:szCs w:val="36"/>
        </w:rPr>
      </w:pPr>
      <w:r>
        <w:rPr>
          <w:rFonts w:hint="eastAsia" w:ascii="黑体" w:hAnsi="黑体" w:eastAsia="黑体" w:cs="黑体"/>
          <w:bCs/>
          <w:color w:val="000000"/>
          <w:sz w:val="36"/>
          <w:szCs w:val="36"/>
        </w:rPr>
        <w:t>（</w:t>
      </w:r>
      <w:r>
        <w:rPr>
          <w:rFonts w:hint="eastAsia" w:ascii="黑体" w:hAnsi="黑体" w:eastAsia="黑体" w:cs="黑体"/>
          <w:bCs/>
          <w:color w:val="000000"/>
          <w:sz w:val="36"/>
          <w:szCs w:val="36"/>
          <w:lang w:eastAsia="zh-CN"/>
        </w:rPr>
        <w:t>征求意见</w:t>
      </w:r>
      <w:r>
        <w:rPr>
          <w:rFonts w:hint="eastAsia" w:ascii="黑体" w:hAnsi="黑体" w:eastAsia="黑体" w:cs="黑体"/>
          <w:bCs/>
          <w:color w:val="000000"/>
          <w:sz w:val="36"/>
          <w:szCs w:val="36"/>
        </w:rPr>
        <w:t>稿）编制说明</w:t>
      </w:r>
    </w:p>
    <w:p>
      <w:pPr>
        <w:pStyle w:val="12"/>
        <w:numPr>
          <w:ilvl w:val="0"/>
          <w:numId w:val="4"/>
        </w:numPr>
        <w:adjustRightInd w:val="0"/>
        <w:snapToGrid w:val="0"/>
        <w:spacing w:line="360" w:lineRule="auto"/>
        <w:ind w:firstLineChars="0"/>
        <w:rPr>
          <w:rFonts w:ascii="黑体" w:hAnsi="黑体" w:eastAsia="黑体" w:cs="黑体"/>
          <w:bCs/>
          <w:sz w:val="32"/>
          <w:szCs w:val="32"/>
        </w:rPr>
      </w:pPr>
      <w:r>
        <w:rPr>
          <w:rFonts w:hint="eastAsia" w:ascii="黑体" w:hAnsi="黑体" w:eastAsia="黑体" w:cs="黑体"/>
          <w:bCs/>
          <w:sz w:val="32"/>
          <w:szCs w:val="32"/>
        </w:rPr>
        <w:t>项目来源</w:t>
      </w:r>
    </w:p>
    <w:p>
      <w:pPr>
        <w:ind w:firstLine="560" w:firstLineChars="200"/>
        <w:rPr>
          <w:rFonts w:ascii="仿宋_GB2312" w:hAnsi="宋体" w:eastAsia="仿宋_GB2312"/>
          <w:sz w:val="28"/>
          <w:szCs w:val="28"/>
          <w:lang w:val="zh-CN"/>
        </w:rPr>
      </w:pPr>
      <w:r>
        <w:rPr>
          <w:rFonts w:hint="eastAsia" w:ascii="仿宋_GB2312" w:hAnsi="宋体" w:eastAsia="仿宋_GB2312"/>
          <w:sz w:val="28"/>
          <w:szCs w:val="28"/>
          <w:lang w:val="zh-CN"/>
        </w:rPr>
        <w:t>根据《广西标准化协会关于下达2020年第三批团体标准制修订项目计划的通知》（桂标协﹝2020﹞</w:t>
      </w:r>
      <w:r>
        <w:rPr>
          <w:rFonts w:hint="eastAsia" w:ascii="仿宋_GB2312" w:hAnsi="宋体" w:eastAsia="仿宋_GB2312"/>
          <w:sz w:val="28"/>
          <w:szCs w:val="28"/>
        </w:rPr>
        <w:t>8</w:t>
      </w:r>
      <w:r>
        <w:rPr>
          <w:rFonts w:hint="eastAsia" w:ascii="仿宋_GB2312" w:hAnsi="宋体" w:eastAsia="仿宋_GB2312"/>
          <w:sz w:val="28"/>
          <w:szCs w:val="28"/>
          <w:lang w:val="zh-CN"/>
        </w:rPr>
        <w:t>号）精神，由广西壮族自治区农业科学院蔬菜研究所提出，广西大学和广西壮族自治区农业科学院蔬菜研究所共同负责起草的团体标准《甜瓜断根嫁接育苗技术规程》。</w:t>
      </w:r>
    </w:p>
    <w:p>
      <w:pPr>
        <w:pStyle w:val="12"/>
        <w:numPr>
          <w:ilvl w:val="0"/>
          <w:numId w:val="4"/>
        </w:numPr>
        <w:adjustRightInd w:val="0"/>
        <w:snapToGrid w:val="0"/>
        <w:spacing w:beforeLines="50" w:line="360" w:lineRule="auto"/>
        <w:ind w:firstLineChars="0"/>
        <w:rPr>
          <w:rFonts w:ascii="黑体" w:hAnsi="黑体" w:eastAsia="黑体" w:cs="黑体"/>
          <w:bCs/>
          <w:sz w:val="32"/>
          <w:szCs w:val="32"/>
        </w:rPr>
      </w:pPr>
      <w:r>
        <w:rPr>
          <w:rFonts w:hint="eastAsia" w:ascii="黑体" w:hAnsi="黑体" w:eastAsia="黑体" w:cs="黑体"/>
          <w:bCs/>
          <w:sz w:val="32"/>
          <w:szCs w:val="32"/>
        </w:rPr>
        <w:t>项目背景及目的意义</w:t>
      </w:r>
    </w:p>
    <w:p>
      <w:pPr>
        <w:ind w:firstLine="560" w:firstLineChars="200"/>
        <w:rPr>
          <w:rFonts w:ascii="仿宋_GB2312" w:hAnsi="宋体" w:eastAsia="仿宋_GB2312"/>
          <w:sz w:val="28"/>
          <w:szCs w:val="28"/>
        </w:rPr>
      </w:pPr>
      <w:r>
        <w:rPr>
          <w:rFonts w:hint="eastAsia" w:ascii="仿宋_GB2312" w:hAnsi="宋体" w:eastAsia="仿宋_GB2312"/>
          <w:sz w:val="28"/>
          <w:szCs w:val="28"/>
        </w:rPr>
        <w:t>甜瓜，一年生蔓性植物。果实香甜，富含醣、淀粉，还有少量蛋白质、矿物质及其他维生素。甜瓜是世界重要的特色水果作物，因其具有香甜浓郁的口感而深受消费者欢迎。</w:t>
      </w:r>
    </w:p>
    <w:p>
      <w:pPr>
        <w:ind w:firstLine="560" w:firstLineChars="200"/>
        <w:rPr>
          <w:rFonts w:ascii="仿宋_GB2312" w:hAnsi="宋体" w:eastAsia="仿宋_GB2312"/>
          <w:sz w:val="28"/>
          <w:szCs w:val="28"/>
        </w:rPr>
      </w:pPr>
      <w:r>
        <w:rPr>
          <w:rFonts w:hint="eastAsia" w:ascii="仿宋_GB2312" w:hAnsi="宋体" w:eastAsia="仿宋_GB2312"/>
          <w:sz w:val="28"/>
          <w:szCs w:val="28"/>
        </w:rPr>
        <w:t>广西因地处南亚热带地区，具有独特的光、温、水、热优势生产条件，已经成为我国甜瓜生产优势产区之一，也是我国反季节瓜菜栽培的主产区。广西是中国-东盟贸易博览会主会场、交流中心, 广西还是我国西南和东盟邻国大通道的交通枢纽, 陆路、水路、空中交通十分便利,有甜瓜出口的贸易基础。广西的南宁、北海、百色、柳州、来宾、桂林等地区有规模化的甜瓜生产基地, 广西农业科学院园艺研究所自2005年以来相继选育出系列哈密瓜类型厚皮甜瓜品种这些品种在广西及华南地区种植表现抗热、耐湿、抗病力强, 产量、品质、外观、耐贮性等综合性状均达到新疆哈密瓜本土栽培品种的水平。甜瓜生产已成为广西特色农业产业。</w:t>
      </w:r>
    </w:p>
    <w:p>
      <w:pPr>
        <w:ind w:firstLine="560" w:firstLineChars="200"/>
        <w:rPr>
          <w:rFonts w:ascii="仿宋_GB2312" w:hAnsi="宋体" w:eastAsia="仿宋_GB2312"/>
          <w:sz w:val="28"/>
          <w:szCs w:val="28"/>
        </w:rPr>
      </w:pPr>
      <w:r>
        <w:rPr>
          <w:rFonts w:hint="eastAsia" w:ascii="仿宋_GB2312" w:hAnsi="宋体" w:eastAsia="仿宋_GB2312"/>
          <w:sz w:val="28"/>
          <w:szCs w:val="28"/>
        </w:rPr>
        <w:t>甜瓜嫁接栽培是目前最简单有效地克服甜瓜连作障碍的措施。嫁接可提高甜瓜对土传病害的抗病性以及对不良环境条件的抗逆性, 是解决连作障碍的有效措施。甜瓜的嫁接栽培面积也在逐年增长，甜瓜嫁接方法主要有顶插接法、靠接法、贴接法等,存在成活率低、周期长、整齐性差,用工量大等问题。我国断根嫁接技术应用比较晚，在西瓜、黄瓜嫁接中发现，断根后新发出的根系数量多、粗壮，根系活力强，根系面积大，对水分和养分的吸收能力强，嫁接苗生长健壮一致，并且在产量上有明显提高。</w:t>
      </w:r>
      <w:r>
        <w:rPr>
          <w:rFonts w:hint="eastAsia" w:ascii="仿宋_GB2312" w:hAnsi="宋体" w:eastAsia="仿宋_GB2312"/>
          <w:sz w:val="28"/>
          <w:szCs w:val="32"/>
        </w:rPr>
        <w:t>目前广西甜瓜生产上仍然使用传统的顶插接法进行嫁接育苗，普通农户包括育苗企业对双断根嫁接法认识和了解不足，限制了该技术在广西甜瓜生产上的应用。</w:t>
      </w:r>
    </w:p>
    <w:p>
      <w:pPr>
        <w:ind w:firstLine="560" w:firstLineChars="200"/>
        <w:rPr>
          <w:rFonts w:ascii="仿宋_GB2312" w:hAnsi="宋体" w:eastAsia="仿宋_GB2312"/>
          <w:sz w:val="28"/>
          <w:szCs w:val="28"/>
          <w:lang w:val="zh-CN"/>
        </w:rPr>
      </w:pPr>
      <w:r>
        <w:rPr>
          <w:rFonts w:hint="eastAsia" w:ascii="仿宋_GB2312" w:hAnsi="宋体" w:eastAsia="仿宋_GB2312"/>
          <w:sz w:val="28"/>
          <w:szCs w:val="28"/>
          <w:lang w:val="zh-CN"/>
        </w:rPr>
        <w:t>经查阅《中华人民共和国国家标准批准发布公告》与《中华人民共和国地方标准备案公告》，目前甜瓜断根嫁接育苗技术规程无国家标准、行业标准、地方标准和团体标准，本标准的制定，填补了甜瓜断根嫁接育苗技术领域上的空白，达到提高甜瓜嫁接技术水平的目的，具有一定的先进性和实用性，完全符合广西特色农业发展的需求。</w:t>
      </w:r>
    </w:p>
    <w:p>
      <w:pPr>
        <w:pStyle w:val="12"/>
        <w:numPr>
          <w:ilvl w:val="0"/>
          <w:numId w:val="4"/>
        </w:numPr>
        <w:adjustRightInd w:val="0"/>
        <w:snapToGrid w:val="0"/>
        <w:spacing w:beforeLines="50" w:line="360" w:lineRule="auto"/>
        <w:ind w:firstLineChars="0"/>
        <w:rPr>
          <w:rFonts w:ascii="黑体" w:hAnsi="黑体" w:eastAsia="黑体" w:cs="黑体"/>
          <w:bCs/>
          <w:sz w:val="32"/>
          <w:szCs w:val="32"/>
        </w:rPr>
      </w:pPr>
      <w:r>
        <w:rPr>
          <w:rFonts w:hint="eastAsia" w:ascii="黑体" w:hAnsi="黑体" w:eastAsia="黑体" w:cs="黑体"/>
          <w:bCs/>
          <w:sz w:val="32"/>
          <w:szCs w:val="32"/>
        </w:rPr>
        <w:t>标准编制过程</w:t>
      </w:r>
    </w:p>
    <w:p>
      <w:pPr>
        <w:adjustRightInd w:val="0"/>
        <w:snapToGrid w:val="0"/>
        <w:spacing w:beforeLines="50" w:line="360" w:lineRule="auto"/>
        <w:ind w:left="504"/>
        <w:rPr>
          <w:rFonts w:ascii="黑体" w:hAnsi="黑体" w:eastAsia="黑体" w:cs="黑体"/>
          <w:bCs/>
          <w:sz w:val="32"/>
          <w:szCs w:val="32"/>
        </w:rPr>
      </w:pPr>
      <w:r>
        <w:rPr>
          <w:rFonts w:hint="eastAsia" w:ascii="仿宋_GB2312" w:hAnsi="仿宋_GB2312" w:eastAsia="仿宋_GB2312" w:cs="仿宋_GB2312"/>
          <w:b/>
          <w:sz w:val="28"/>
          <w:szCs w:val="28"/>
        </w:rPr>
        <w:t>（一）成立标准编制工作组</w:t>
      </w:r>
    </w:p>
    <w:p>
      <w:pPr>
        <w:ind w:firstLine="560" w:firstLineChars="200"/>
        <w:rPr>
          <w:rFonts w:ascii="仿宋_GB2312" w:hAnsi="宋体" w:eastAsia="仿宋_GB2312"/>
          <w:sz w:val="28"/>
          <w:szCs w:val="28"/>
        </w:rPr>
      </w:pPr>
      <w:r>
        <w:rPr>
          <w:rFonts w:hint="eastAsia" w:ascii="仿宋_GB2312" w:hAnsi="宋体" w:eastAsia="仿宋_GB2312"/>
          <w:sz w:val="28"/>
          <w:szCs w:val="28"/>
        </w:rPr>
        <w:t>团体标准《</w:t>
      </w:r>
      <w:r>
        <w:rPr>
          <w:rFonts w:hint="eastAsia" w:ascii="仿宋_GB2312" w:hAnsi="宋体" w:eastAsia="仿宋_GB2312"/>
          <w:sz w:val="28"/>
          <w:szCs w:val="28"/>
          <w:lang w:val="zh-CN"/>
        </w:rPr>
        <w:t>甜瓜断根嫁接育苗技术规程</w:t>
      </w:r>
      <w:r>
        <w:rPr>
          <w:rFonts w:hint="eastAsia" w:ascii="仿宋_GB2312" w:hAnsi="宋体" w:eastAsia="仿宋_GB2312"/>
          <w:sz w:val="28"/>
          <w:szCs w:val="28"/>
        </w:rPr>
        <w:t>》项目任务下达后，成立了标准编制工作组，制定了标准编写方案，明确任务职责，确定工作技术路线，开展标准研制工作，具体标准编制工作由</w:t>
      </w:r>
      <w:r>
        <w:rPr>
          <w:rFonts w:hint="eastAsia" w:ascii="仿宋_GB2312" w:hAnsi="宋体" w:eastAsia="仿宋_GB2312"/>
          <w:sz w:val="28"/>
          <w:szCs w:val="28"/>
          <w:lang w:val="zh-CN"/>
        </w:rPr>
        <w:t>广西大学和广西壮族自治区农业科学院蔬菜研究所</w:t>
      </w:r>
      <w:r>
        <w:rPr>
          <w:rFonts w:hint="eastAsia" w:ascii="仿宋_GB2312" w:hAnsi="宋体" w:eastAsia="仿宋_GB2312"/>
          <w:sz w:val="28"/>
          <w:szCs w:val="28"/>
        </w:rPr>
        <w:t>相关人员配合。</w:t>
      </w:r>
    </w:p>
    <w:p>
      <w:pPr>
        <w:spacing w:beforeLines="50" w:afterLines="50"/>
        <w:ind w:firstLine="562" w:firstLineChars="200"/>
        <w:rPr>
          <w:rFonts w:ascii="仿宋_GB2312" w:hAnsi="仿宋_GB2312" w:eastAsia="仿宋_GB2312" w:cs="仿宋_GB2312"/>
          <w:b/>
          <w:sz w:val="28"/>
          <w:szCs w:val="28"/>
        </w:rPr>
      </w:pPr>
      <w:r>
        <w:rPr>
          <w:rFonts w:hint="eastAsia" w:ascii="仿宋_GB2312" w:hAnsi="仿宋_GB2312" w:eastAsia="仿宋_GB2312" w:cs="仿宋_GB2312"/>
          <w:b/>
          <w:sz w:val="28"/>
          <w:szCs w:val="28"/>
        </w:rPr>
        <w:t>（二）收集整理文献资料</w:t>
      </w:r>
    </w:p>
    <w:p>
      <w:pPr>
        <w:ind w:firstLine="560" w:firstLineChars="200"/>
        <w:rPr>
          <w:rFonts w:ascii="仿宋_GB2312" w:hAnsi="宋体" w:eastAsia="仿宋_GB2312"/>
          <w:sz w:val="28"/>
          <w:szCs w:val="28"/>
        </w:rPr>
      </w:pPr>
      <w:r>
        <w:rPr>
          <w:rFonts w:hint="eastAsia" w:ascii="仿宋_GB2312" w:hAnsi="宋体" w:eastAsia="仿宋_GB2312"/>
          <w:sz w:val="28"/>
          <w:szCs w:val="28"/>
        </w:rPr>
        <w:t xml:space="preserve">目前国内关于《甜瓜断根嫁接育苗技术规程》标准还未见相关报道，通过查阅参考了目前甜瓜常规嫁接的标准，具体列出如下： </w:t>
      </w:r>
    </w:p>
    <w:p>
      <w:pPr>
        <w:pStyle w:val="13"/>
        <w:ind w:firstLine="560"/>
        <w:rPr>
          <w:rFonts w:ascii="仿宋_GB2312" w:hAnsi="宋体" w:eastAsia="仿宋_GB2312"/>
          <w:kern w:val="2"/>
          <w:sz w:val="28"/>
          <w:szCs w:val="28"/>
        </w:rPr>
      </w:pPr>
      <w:r>
        <w:rPr>
          <w:rFonts w:hint="eastAsia" w:ascii="仿宋_GB2312" w:hAnsi="宋体" w:eastAsia="仿宋_GB2312"/>
          <w:kern w:val="2"/>
          <w:sz w:val="28"/>
          <w:szCs w:val="28"/>
        </w:rPr>
        <w:t>DB45/T 1969  甜瓜嫁接苗生产技术规程</w:t>
      </w:r>
    </w:p>
    <w:p>
      <w:pPr>
        <w:spacing w:beforeLines="50" w:afterLines="50"/>
        <w:ind w:firstLine="562" w:firstLineChars="200"/>
        <w:rPr>
          <w:rFonts w:ascii="仿宋_GB2312" w:hAnsi="仿宋_GB2312" w:eastAsia="仿宋_GB2312" w:cs="仿宋_GB2312"/>
          <w:b/>
          <w:sz w:val="28"/>
          <w:szCs w:val="28"/>
        </w:rPr>
      </w:pPr>
      <w:r>
        <w:rPr>
          <w:rFonts w:hint="eastAsia" w:ascii="仿宋_GB2312" w:hAnsi="仿宋_GB2312" w:eastAsia="仿宋_GB2312" w:cs="仿宋_GB2312"/>
          <w:b/>
          <w:sz w:val="28"/>
          <w:szCs w:val="28"/>
        </w:rPr>
        <w:t>（三）研讨确定标准主体内容</w:t>
      </w:r>
    </w:p>
    <w:p>
      <w:pPr>
        <w:ind w:firstLine="560" w:firstLineChars="200"/>
        <w:rPr>
          <w:rFonts w:ascii="仿宋_GB2312" w:hAnsi="宋体" w:eastAsia="仿宋_GB2312"/>
          <w:sz w:val="32"/>
          <w:szCs w:val="32"/>
          <w:lang w:val="zh-CN"/>
        </w:rPr>
      </w:pPr>
      <w:r>
        <w:rPr>
          <w:rFonts w:hint="eastAsia" w:ascii="仿宋_GB2312" w:hAnsi="宋体" w:eastAsia="仿宋_GB2312"/>
          <w:sz w:val="28"/>
          <w:szCs w:val="28"/>
        </w:rPr>
        <w:t>标准编制工作组在对收集的资料进行整理研究之后，标准编制工作组召开了标准编制会议，对标准的整体框架结构进行了研究，并对标准的关键性内容进行了初步探讨。经过研究，标准的主体内容确定为术语和定义、砧木、接穗、砧木与接穗育苗、嫁接、嫁接后管理、出圃、成产档案。</w:t>
      </w:r>
    </w:p>
    <w:p>
      <w:pPr>
        <w:spacing w:line="600" w:lineRule="exact"/>
        <w:ind w:firstLine="562" w:firstLineChars="200"/>
        <w:rPr>
          <w:rFonts w:ascii="仿宋_GB2312" w:hAnsi="仿宋_GB2312" w:eastAsia="仿宋_GB2312" w:cs="仿宋_GB2312"/>
          <w:b/>
          <w:sz w:val="28"/>
          <w:szCs w:val="28"/>
        </w:rPr>
      </w:pPr>
      <w:r>
        <w:rPr>
          <w:rFonts w:hint="eastAsia" w:ascii="仿宋_GB2312" w:hAnsi="仿宋_GB2312" w:eastAsia="仿宋_GB2312" w:cs="仿宋_GB2312"/>
          <w:b/>
          <w:sz w:val="28"/>
          <w:szCs w:val="28"/>
        </w:rPr>
        <w:t>（四）调研、形成文本草案、征求意见稿</w:t>
      </w:r>
    </w:p>
    <w:p>
      <w:pPr>
        <w:spacing w:line="600" w:lineRule="exact"/>
        <w:ind w:firstLine="560" w:firstLineChars="200"/>
        <w:rPr>
          <w:rFonts w:ascii="仿宋_GB2312" w:hAnsi="宋体" w:eastAsia="仿宋_GB2312"/>
          <w:sz w:val="28"/>
          <w:szCs w:val="28"/>
        </w:rPr>
      </w:pPr>
      <w:r>
        <w:rPr>
          <w:rFonts w:hint="eastAsia" w:ascii="仿宋_GB2312" w:hAnsi="宋体" w:eastAsia="仿宋_GB2312"/>
          <w:sz w:val="28"/>
          <w:szCs w:val="28"/>
        </w:rPr>
        <w:t>2020年4月，标准起草工作小组进行了广泛实地调研工作，查阅了大量的国内外文献资料，对甜瓜嫁接育苗技术进行系统总结</w:t>
      </w:r>
      <w:r>
        <w:rPr>
          <w:rFonts w:hint="eastAsia" w:ascii="仿宋_GB2312" w:hAnsi="宋体" w:eastAsia="仿宋_GB2312"/>
          <w:color w:val="auto"/>
          <w:sz w:val="28"/>
          <w:szCs w:val="28"/>
        </w:rPr>
        <w:t>。</w:t>
      </w:r>
      <w:r>
        <w:rPr>
          <w:rFonts w:hint="eastAsia" w:ascii="仿宋_GB2312" w:hAnsi="宋体" w:eastAsia="仿宋_GB2312"/>
          <w:sz w:val="28"/>
          <w:szCs w:val="28"/>
        </w:rPr>
        <w:t>经编制组反复讨论，形成了标准的基本构架，对主要内容进行了讨论并对项目的工作进行了部署和安排。</w:t>
      </w:r>
    </w:p>
    <w:p>
      <w:pPr>
        <w:spacing w:line="600" w:lineRule="exact"/>
        <w:ind w:firstLine="560" w:firstLineChars="200"/>
        <w:rPr>
          <w:rFonts w:ascii="仿宋_GB2312" w:hAnsi="宋体" w:eastAsia="仿宋_GB2312"/>
          <w:sz w:val="28"/>
          <w:szCs w:val="28"/>
        </w:rPr>
      </w:pPr>
      <w:r>
        <w:rPr>
          <w:rFonts w:hint="eastAsia" w:ascii="仿宋_GB2312" w:hAnsi="宋体" w:eastAsia="仿宋_GB2312"/>
          <w:sz w:val="28"/>
          <w:szCs w:val="28"/>
        </w:rPr>
        <w:t>2020年5月</w:t>
      </w:r>
      <w:r>
        <w:rPr>
          <w:rFonts w:hint="eastAsia" w:ascii="宋体" w:hAnsi="宋体"/>
          <w:sz w:val="28"/>
          <w:szCs w:val="28"/>
        </w:rPr>
        <w:t>～</w:t>
      </w:r>
      <w:r>
        <w:rPr>
          <w:rFonts w:hint="eastAsia" w:ascii="仿宋_GB2312" w:hAnsi="宋体" w:eastAsia="仿宋_GB2312"/>
          <w:sz w:val="28"/>
          <w:szCs w:val="28"/>
        </w:rPr>
        <w:t>7月，在前期工作的基础之上，通过理清逻辑脉络，整合已有的参考资料中有关甜瓜嫁接育苗技术，并结合区内甜瓜断根嫁接育苗实际要求的基础上，按照简化、统一等原则编制完成团体标准《甜瓜断根嫁接育苗技术规程》（草案）。</w:t>
      </w:r>
    </w:p>
    <w:p>
      <w:pPr>
        <w:spacing w:line="600" w:lineRule="exact"/>
        <w:ind w:firstLine="560" w:firstLineChars="200"/>
        <w:rPr>
          <w:rFonts w:ascii="仿宋_GB2312" w:hAnsi="宋体" w:eastAsia="仿宋_GB2312"/>
          <w:sz w:val="28"/>
          <w:szCs w:val="28"/>
        </w:rPr>
      </w:pPr>
      <w:r>
        <w:rPr>
          <w:rFonts w:hint="eastAsia" w:ascii="仿宋_GB2312" w:hAnsi="宋体" w:eastAsia="仿宋_GB2312"/>
          <w:sz w:val="28"/>
          <w:szCs w:val="28"/>
        </w:rPr>
        <w:t>2020年8月</w:t>
      </w:r>
      <w:r>
        <w:rPr>
          <w:rFonts w:hint="eastAsia" w:ascii="宋体" w:hAnsi="宋体"/>
          <w:sz w:val="28"/>
          <w:szCs w:val="28"/>
        </w:rPr>
        <w:t>～</w:t>
      </w:r>
      <w:r>
        <w:rPr>
          <w:rFonts w:hint="eastAsia" w:ascii="仿宋_GB2312" w:hAnsi="宋体" w:eastAsia="仿宋_GB2312"/>
          <w:sz w:val="28"/>
          <w:szCs w:val="28"/>
        </w:rPr>
        <w:t>2021年4月，深入南宁市、北海市、百色市、柳州市、来宾市、桂林市</w:t>
      </w:r>
      <w:r>
        <w:rPr>
          <w:rFonts w:hint="eastAsia" w:ascii="仿宋_GB2312" w:hAnsi="宋体" w:eastAsia="仿宋_GB2312"/>
          <w:sz w:val="28"/>
          <w:szCs w:val="28"/>
          <w:lang w:val="zh-CN"/>
        </w:rPr>
        <w:t>等主要甜瓜产区，针对甜瓜土传病害及甜瓜断根嫁接育苗</w:t>
      </w:r>
      <w:r>
        <w:rPr>
          <w:rFonts w:hint="eastAsia" w:ascii="仿宋_GB2312" w:hAnsi="宋体" w:eastAsia="仿宋_GB2312"/>
          <w:sz w:val="28"/>
          <w:szCs w:val="28"/>
        </w:rPr>
        <w:t>进行分组实地调研。标准编制工作组多次召开会议，对标准草案进行了反复修改和研究讨论，最终形成了团体标准《甜瓜断根嫁接育苗技术规程》（征求意见稿）和（征求意见稿）编制说明。</w:t>
      </w:r>
    </w:p>
    <w:p>
      <w:pPr>
        <w:autoSpaceDE w:val="0"/>
        <w:autoSpaceDN w:val="0"/>
        <w:adjustRightInd w:val="0"/>
        <w:spacing w:beforeLines="50" w:afterLines="50" w:line="520" w:lineRule="exact"/>
        <w:ind w:firstLine="640" w:firstLineChars="200"/>
        <w:jc w:val="left"/>
        <w:rPr>
          <w:rFonts w:ascii="黑体" w:hAnsi="黑体" w:eastAsia="黑体" w:cs="仿宋_GB2312"/>
          <w:sz w:val="32"/>
          <w:szCs w:val="32"/>
        </w:rPr>
      </w:pPr>
      <w:bookmarkStart w:id="0" w:name="_Toc526940083"/>
      <w:r>
        <w:rPr>
          <w:rFonts w:hint="eastAsia" w:ascii="黑体" w:hAnsi="黑体" w:eastAsia="黑体" w:cs="仿宋_GB2312"/>
          <w:sz w:val="32"/>
          <w:szCs w:val="32"/>
        </w:rPr>
        <w:t>四、标准制定原则</w:t>
      </w:r>
      <w:bookmarkEnd w:id="0"/>
    </w:p>
    <w:p>
      <w:pPr>
        <w:spacing w:line="520"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1、实用性原则</w:t>
      </w:r>
    </w:p>
    <w:p>
      <w:pPr>
        <w:ind w:firstLine="560" w:firstLineChars="200"/>
        <w:rPr>
          <w:rFonts w:ascii="仿宋_GB2312" w:hAnsi="宋体" w:eastAsia="仿宋_GB2312"/>
          <w:sz w:val="28"/>
          <w:szCs w:val="28"/>
          <w:lang w:val="zh-CN"/>
        </w:rPr>
      </w:pPr>
      <w:r>
        <w:rPr>
          <w:rFonts w:hint="eastAsia" w:ascii="仿宋_GB2312" w:hAnsi="宋体" w:eastAsia="仿宋_GB2312"/>
          <w:sz w:val="28"/>
          <w:szCs w:val="28"/>
          <w:lang w:val="zh-CN"/>
        </w:rPr>
        <w:t>本文件是在充分收集相关资料和文献，分析区内甜瓜嫁接育苗现状，在现有国家、行业标准相关甜瓜断根嫁接育苗技术的基础上，结合多年经验而总结起草的。符合当前甜瓜嫁接育苗技术的要求，有利于行业的长远发展，具有较强的实用性和可操作性。</w:t>
      </w:r>
    </w:p>
    <w:p>
      <w:pPr>
        <w:spacing w:line="520"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2、协调性原则</w:t>
      </w:r>
    </w:p>
    <w:p>
      <w:pPr>
        <w:ind w:firstLine="560" w:firstLineChars="200"/>
        <w:rPr>
          <w:rFonts w:ascii="仿宋_GB2312" w:hAnsi="宋体" w:eastAsia="仿宋_GB2312"/>
          <w:sz w:val="28"/>
          <w:szCs w:val="28"/>
          <w:lang w:val="zh-CN"/>
        </w:rPr>
      </w:pPr>
      <w:r>
        <w:rPr>
          <w:rFonts w:hint="eastAsia" w:ascii="仿宋_GB2312" w:hAnsi="宋体" w:eastAsia="仿宋_GB2312"/>
          <w:sz w:val="28"/>
          <w:szCs w:val="28"/>
          <w:lang w:val="zh-CN"/>
        </w:rPr>
        <w:t>本文件编写过程中注意了甜瓜断根嫁接育苗技术要求与相关法律法规的协调问题，在内容上与现行法律法规、标准协调一致。</w:t>
      </w:r>
    </w:p>
    <w:p>
      <w:pPr>
        <w:spacing w:line="520"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3、规范性原则</w:t>
      </w:r>
    </w:p>
    <w:p>
      <w:pPr>
        <w:ind w:firstLine="560" w:firstLineChars="200"/>
        <w:rPr>
          <w:rFonts w:ascii="仿宋_GB2312" w:hAnsi="宋体" w:eastAsia="仿宋_GB2312"/>
          <w:sz w:val="28"/>
          <w:szCs w:val="28"/>
          <w:lang w:val="zh-CN"/>
        </w:rPr>
      </w:pPr>
      <w:r>
        <w:rPr>
          <w:rFonts w:hint="eastAsia" w:ascii="仿宋_GB2312" w:hAnsi="宋体" w:eastAsia="仿宋_GB2312"/>
          <w:sz w:val="28"/>
          <w:szCs w:val="28"/>
          <w:lang w:val="zh-CN"/>
        </w:rPr>
        <w:t>本文件严格按照GB/T 1.1—2020《标准化工作导则 第1部分：标准的结构和编写》的要求和规定编写本标准的内容，保证标准的编写质量。</w:t>
      </w:r>
    </w:p>
    <w:p>
      <w:pPr>
        <w:spacing w:line="520"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4、前瞻性原则</w:t>
      </w:r>
    </w:p>
    <w:p>
      <w:pPr>
        <w:ind w:firstLine="560" w:firstLineChars="200"/>
        <w:rPr>
          <w:rFonts w:ascii="仿宋_GB2312" w:hAnsi="宋体" w:eastAsia="仿宋_GB2312"/>
          <w:sz w:val="28"/>
          <w:szCs w:val="28"/>
        </w:rPr>
      </w:pPr>
      <w:r>
        <w:rPr>
          <w:rFonts w:hint="eastAsia" w:ascii="仿宋_GB2312" w:hAnsi="宋体" w:eastAsia="仿宋_GB2312"/>
          <w:sz w:val="28"/>
          <w:szCs w:val="28"/>
        </w:rPr>
        <w:t>本文件兼顾当前区内甜瓜嫁接育苗技术的同时，对比甜瓜断根嫁接法与顶插接法、靠接法、贴接法，在成活率、周期、整齐性、用工量的区别，在标准中体现了个别特色性、前瞻性和先进性条款，作为对甜瓜断根嫁接育苗技术的指导。</w:t>
      </w:r>
    </w:p>
    <w:p>
      <w:pPr>
        <w:pStyle w:val="12"/>
        <w:numPr>
          <w:ilvl w:val="0"/>
          <w:numId w:val="5"/>
        </w:numPr>
        <w:adjustRightInd w:val="0"/>
        <w:snapToGrid w:val="0"/>
        <w:spacing w:beforeLines="50" w:line="360" w:lineRule="auto"/>
        <w:ind w:firstLineChars="0"/>
        <w:rPr>
          <w:rFonts w:ascii="黑体" w:hAnsi="黑体" w:eastAsia="黑体" w:cs="黑体"/>
          <w:bCs/>
          <w:sz w:val="32"/>
          <w:szCs w:val="32"/>
        </w:rPr>
      </w:pPr>
      <w:r>
        <w:rPr>
          <w:rFonts w:hint="eastAsia" w:ascii="黑体" w:hAnsi="黑体" w:eastAsia="黑体" w:cs="黑体"/>
          <w:bCs/>
          <w:sz w:val="32"/>
          <w:szCs w:val="32"/>
        </w:rPr>
        <w:t>标准主要章节内容及确定依据</w:t>
      </w:r>
    </w:p>
    <w:p>
      <w:pPr>
        <w:ind w:firstLine="560" w:firstLineChars="200"/>
        <w:rPr>
          <w:rFonts w:ascii="仿宋_GB2312" w:hAnsi="宋体" w:eastAsia="仿宋_GB2312"/>
          <w:sz w:val="28"/>
          <w:szCs w:val="28"/>
          <w:lang w:val="zh-CN"/>
        </w:rPr>
      </w:pPr>
      <w:r>
        <w:rPr>
          <w:rFonts w:hint="eastAsia" w:ascii="仿宋_GB2312" w:hAnsi="宋体" w:eastAsia="仿宋_GB2312"/>
          <w:sz w:val="28"/>
          <w:szCs w:val="28"/>
          <w:lang w:val="zh-CN"/>
        </w:rPr>
        <w:t>团体标准《甜瓜断根嫁接育苗技术规程》主要内容包括</w:t>
      </w:r>
      <w:r>
        <w:rPr>
          <w:rFonts w:hint="eastAsia" w:ascii="仿宋_GB2312" w:hAnsi="宋体" w:eastAsia="仿宋_GB2312"/>
          <w:sz w:val="28"/>
          <w:szCs w:val="28"/>
        </w:rPr>
        <w:t>术语和定义、砧木、接穗、砧木与接穗育苗、嫁接、嫁接后管理、出圃、成产档案。</w:t>
      </w:r>
      <w:r>
        <w:rPr>
          <w:rFonts w:hint="eastAsia" w:ascii="仿宋_GB2312" w:hAnsi="宋体" w:eastAsia="仿宋_GB2312"/>
          <w:sz w:val="28"/>
          <w:szCs w:val="28"/>
          <w:lang w:val="zh-CN"/>
        </w:rPr>
        <w:t>甜瓜断根嫁接育苗技术，嫁接成活率高、育苗周期短、秧苗整齐易管理</w:t>
      </w:r>
      <w:r>
        <w:rPr>
          <w:rFonts w:ascii="仿宋_GB2312" w:hAnsi="宋体" w:eastAsia="仿宋_GB2312"/>
          <w:sz w:val="28"/>
          <w:szCs w:val="28"/>
          <w:lang w:val="zh-CN"/>
        </w:rPr>
        <w:t>,</w:t>
      </w:r>
      <w:r>
        <w:rPr>
          <w:rFonts w:hint="eastAsia" w:ascii="仿宋_GB2312" w:hAnsi="宋体" w:eastAsia="仿宋_GB2312"/>
          <w:sz w:val="28"/>
          <w:szCs w:val="28"/>
          <w:lang w:val="zh-CN"/>
        </w:rPr>
        <w:t>值得在生产中推广应用</w:t>
      </w:r>
      <w:r>
        <w:rPr>
          <w:rFonts w:ascii="仿宋_GB2312" w:hAnsi="宋体" w:eastAsia="仿宋_GB2312"/>
          <w:sz w:val="28"/>
          <w:szCs w:val="28"/>
          <w:lang w:val="zh-CN"/>
        </w:rPr>
        <w:t>,</w:t>
      </w:r>
      <w:r>
        <w:rPr>
          <w:rFonts w:hint="eastAsia" w:ascii="仿宋_GB2312" w:hAnsi="宋体" w:eastAsia="仿宋_GB2312"/>
          <w:sz w:val="28"/>
          <w:szCs w:val="28"/>
          <w:lang w:val="zh-CN"/>
        </w:rPr>
        <w:t>提高效益。</w:t>
      </w:r>
    </w:p>
    <w:p>
      <w:pPr>
        <w:ind w:firstLine="560" w:firstLineChars="200"/>
        <w:rPr>
          <w:rFonts w:ascii="仿宋_GB2312" w:hAnsi="宋体" w:eastAsia="仿宋_GB2312"/>
          <w:b/>
          <w:sz w:val="28"/>
          <w:szCs w:val="28"/>
          <w:lang w:val="zh-CN"/>
        </w:rPr>
      </w:pPr>
      <w:r>
        <w:rPr>
          <w:rFonts w:ascii="仿宋_GB2312" w:hAnsi="宋体" w:eastAsia="仿宋_GB2312"/>
          <w:color w:val="FF0000"/>
          <w:sz w:val="28"/>
          <w:szCs w:val="28"/>
          <w:lang w:val="zh-CN"/>
        </w:rPr>
        <w:t xml:space="preserve"> </w:t>
      </w:r>
      <w:r>
        <w:rPr>
          <w:rFonts w:hint="eastAsia" w:ascii="仿宋_GB2312" w:hAnsi="宋体" w:eastAsia="仿宋_GB2312"/>
          <w:b/>
          <w:sz w:val="28"/>
          <w:szCs w:val="28"/>
          <w:lang w:val="zh-CN"/>
        </w:rPr>
        <w:t>1 术语和定义</w:t>
      </w:r>
    </w:p>
    <w:p>
      <w:pPr>
        <w:ind w:firstLine="560" w:firstLineChars="200"/>
        <w:rPr>
          <w:rFonts w:ascii="仿宋_GB2312" w:hAnsi="宋体" w:eastAsia="仿宋_GB2312"/>
          <w:sz w:val="28"/>
          <w:szCs w:val="28"/>
        </w:rPr>
      </w:pPr>
      <w:r>
        <w:rPr>
          <w:rFonts w:hint="eastAsia" w:ascii="仿宋_GB2312" w:hAnsi="宋体" w:eastAsia="仿宋_GB2312"/>
          <w:sz w:val="28"/>
          <w:szCs w:val="28"/>
        </w:rPr>
        <w:t>断根嫁接：去除砧木原有根系，在愈合同时诱导新根系产生的一种嫁接方法。</w:t>
      </w:r>
    </w:p>
    <w:p>
      <w:pPr>
        <w:ind w:firstLine="562" w:firstLineChars="200"/>
        <w:rPr>
          <w:rFonts w:ascii="仿宋_GB2312" w:hAnsi="宋体" w:eastAsia="仿宋_GB2312"/>
          <w:b/>
          <w:sz w:val="28"/>
          <w:szCs w:val="28"/>
        </w:rPr>
      </w:pPr>
      <w:r>
        <w:rPr>
          <w:rFonts w:hint="eastAsia" w:ascii="仿宋_GB2312" w:hAnsi="宋体" w:eastAsia="仿宋_GB2312"/>
          <w:b/>
          <w:sz w:val="28"/>
          <w:szCs w:val="28"/>
        </w:rPr>
        <w:t>2 嫁接前准备</w:t>
      </w:r>
    </w:p>
    <w:p>
      <w:pPr>
        <w:pStyle w:val="27"/>
        <w:numPr>
          <w:ilvl w:val="0"/>
          <w:numId w:val="0"/>
        </w:numPr>
        <w:ind w:firstLine="560" w:firstLineChars="200"/>
        <w:rPr>
          <w:rFonts w:ascii="仿宋_GB2312" w:hAnsi="宋体" w:eastAsia="仿宋_GB2312"/>
          <w:color w:val="000000"/>
          <w:kern w:val="2"/>
          <w:sz w:val="32"/>
          <w:szCs w:val="32"/>
        </w:rPr>
      </w:pPr>
      <w:r>
        <w:rPr>
          <w:rFonts w:hint="eastAsia" w:ascii="仿宋_GB2312" w:hAnsi="宋体" w:eastAsia="仿宋_GB2312"/>
          <w:kern w:val="2"/>
          <w:sz w:val="28"/>
          <w:szCs w:val="28"/>
        </w:rPr>
        <w:t>砧木和接穗育苗技术、苗龄要求主要根据广西当地光照、温度等气候条件和育苗工厂多年经验总结，通过讨论确定。为保证出苗整齐度和易于双断根嫁接操作，确定砧木和接穗的播种时间及苗龄，接穗应晚于砧木播种，易于操作和提高成活率。通过专家组讨论及对甜瓜双断根嫁接集约化育苗技术相关研究，确定详细技术流程。</w:t>
      </w:r>
    </w:p>
    <w:p>
      <w:pPr>
        <w:ind w:firstLine="560" w:firstLineChars="200"/>
        <w:rPr>
          <w:rFonts w:ascii="仿宋_GB2312" w:hAnsi="宋体" w:eastAsia="仿宋_GB2312"/>
          <w:sz w:val="28"/>
          <w:szCs w:val="28"/>
        </w:rPr>
      </w:pPr>
      <w:r>
        <w:rPr>
          <w:rFonts w:hint="eastAsia" w:ascii="仿宋_GB2312" w:hAnsi="宋体" w:eastAsia="仿宋_GB2312"/>
          <w:sz w:val="28"/>
          <w:szCs w:val="28"/>
        </w:rPr>
        <w:t>1）砧木、接穗选择</w:t>
      </w:r>
    </w:p>
    <w:p>
      <w:pPr>
        <w:pStyle w:val="27"/>
        <w:numPr>
          <w:ilvl w:val="0"/>
          <w:numId w:val="0"/>
        </w:numPr>
        <w:ind w:firstLine="560" w:firstLineChars="200"/>
        <w:rPr>
          <w:rFonts w:ascii="仿宋_GB2312" w:hAnsi="宋体" w:eastAsia="仿宋_GB2312"/>
          <w:kern w:val="2"/>
          <w:sz w:val="28"/>
          <w:szCs w:val="28"/>
        </w:rPr>
      </w:pPr>
      <w:r>
        <w:rPr>
          <w:rFonts w:hint="eastAsia" w:ascii="仿宋_GB2312" w:hAnsi="宋体" w:eastAsia="仿宋_GB2312"/>
          <w:kern w:val="2"/>
          <w:sz w:val="28"/>
          <w:szCs w:val="28"/>
        </w:rPr>
        <w:t>适合当地气候和土壤条件，抗性强、生长健壮、根系发达，与接穗嫁接后亲和力强，成活率高，对接穗果实外观和品质无显著不良影响。宜选择物种种类：南瓜、甜瓜。</w:t>
      </w:r>
      <w:r>
        <w:rPr>
          <w:rFonts w:ascii="仿宋_GB2312" w:hAnsi="宋体" w:eastAsia="仿宋_GB2312"/>
          <w:kern w:val="2"/>
          <w:sz w:val="28"/>
          <w:szCs w:val="28"/>
        </w:rPr>
        <w:t>适合当地气候和土壤条件，产量高，品质好，具有较强市场竞争力的栽培品种，与砧木嫁接后亲和力强，成活率高，嫁接后保持接穗的农艺性状，生长一致性好。</w:t>
      </w:r>
    </w:p>
    <w:p>
      <w:pPr>
        <w:ind w:firstLine="560" w:firstLineChars="200"/>
        <w:rPr>
          <w:rFonts w:ascii="仿宋_GB2312" w:hAnsi="宋体" w:eastAsia="仿宋_GB2312"/>
          <w:sz w:val="28"/>
          <w:szCs w:val="28"/>
        </w:rPr>
      </w:pPr>
      <w:r>
        <w:rPr>
          <w:rFonts w:hint="eastAsia" w:ascii="仿宋_GB2312" w:hAnsi="宋体" w:eastAsia="仿宋_GB2312"/>
          <w:sz w:val="28"/>
          <w:szCs w:val="28"/>
        </w:rPr>
        <w:t>2）育苗前准备</w:t>
      </w:r>
    </w:p>
    <w:p>
      <w:pPr>
        <w:pStyle w:val="27"/>
        <w:numPr>
          <w:ilvl w:val="0"/>
          <w:numId w:val="0"/>
        </w:numPr>
        <w:ind w:firstLine="560" w:firstLineChars="200"/>
        <w:rPr>
          <w:rFonts w:ascii="仿宋_GB2312" w:hAnsi="宋体" w:eastAsia="仿宋_GB2312"/>
          <w:kern w:val="2"/>
          <w:sz w:val="28"/>
          <w:szCs w:val="28"/>
        </w:rPr>
      </w:pPr>
      <w:r>
        <w:rPr>
          <w:rFonts w:hint="eastAsia" w:ascii="仿宋_GB2312" w:hAnsi="宋体" w:eastAsia="仿宋_GB2312"/>
          <w:kern w:val="2"/>
          <w:sz w:val="28"/>
          <w:szCs w:val="28"/>
        </w:rPr>
        <w:t>育苗设施主要有连栋温室和塑料大棚，具有保温、通风、湿帘、风机、补光、遮阳等环境调控设备，配套育苗设施还包括基质车间、催芽室、材料库房等。采用高温闷棚法、药剂喷雾法、药剂熏蒸法进行育苗温室消毒，采用0.1％高锰酸钾溶液进行穴盘、平盘消毒，选用正规生产商生产的瓜类或商用育苗基质，使用前加入百菌清或多菌灵进行消毒。断根嫁接法砧木应比接穗早3～5天播种，播种前种子经0.5％高锰酸钾溶液浸种处理后，置于28 ℃～32 ℃恒温箱中催芽。</w:t>
      </w:r>
    </w:p>
    <w:p>
      <w:pPr>
        <w:ind w:firstLine="560" w:firstLineChars="200"/>
        <w:rPr>
          <w:rFonts w:ascii="仿宋_GB2312" w:hAnsi="宋体" w:eastAsia="仿宋_GB2312"/>
          <w:sz w:val="28"/>
          <w:szCs w:val="28"/>
        </w:rPr>
      </w:pPr>
      <w:r>
        <w:rPr>
          <w:rFonts w:hint="eastAsia" w:ascii="仿宋_GB2312" w:hAnsi="宋体" w:eastAsia="仿宋_GB2312"/>
          <w:sz w:val="28"/>
          <w:szCs w:val="28"/>
        </w:rPr>
        <w:t>3）育苗</w:t>
      </w:r>
    </w:p>
    <w:p>
      <w:pPr>
        <w:pStyle w:val="27"/>
        <w:numPr>
          <w:ilvl w:val="0"/>
          <w:numId w:val="0"/>
        </w:numPr>
        <w:ind w:firstLine="560" w:firstLineChars="200"/>
        <w:rPr>
          <w:rFonts w:ascii="仿宋_GB2312" w:hAnsi="宋体" w:eastAsia="仿宋_GB2312"/>
          <w:kern w:val="2"/>
          <w:sz w:val="28"/>
          <w:szCs w:val="28"/>
        </w:rPr>
      </w:pPr>
      <w:r>
        <w:rPr>
          <w:rFonts w:hint="eastAsia" w:ascii="仿宋_GB2312" w:hAnsi="宋体" w:eastAsia="仿宋_GB2312"/>
          <w:kern w:val="2"/>
          <w:sz w:val="28"/>
          <w:szCs w:val="28"/>
        </w:rPr>
        <w:t>将催好芽的砧木(芽长不超3mm)芽尖朝下，方向一致。先打孔再播种，播种深度1.5 cm～2.0 cm，播种后覆盖已消毒的蛭石和珍珠岩的混合物刮平穴盘表面。播种完成后整齐地摆放在苗床上，然后浇水，水分以刚好湿润穴孔基质为宜，浇水完成后覆盖薄膜保湿、保温。点种后保持育苗基质湿润，幼苗出土后适当降温防止徒长，温度不应在15 ℃以下和40 ℃以上，宜18 ℃～32 ℃，冬春增加1～2层塑料薄膜覆盖，夏秋用遮阳网遮阴，加强通风、透光管理。当2/3的种子出苗后，去掉塑料薄膜和遮阳网，及时去掉种壳，白天增加光照，温度不应在8 ℃ 以下和40 ℃以上。砧木第1片真叶展平，第2片真叶刚露心，茎粗2.5 mm～3 mm;接穗子叶展平，转绿露心，茎粗1.5 mm～2 mm时为最佳嫁接期。嫁接前将大棚裙膜收起通风2～3天。砧木苗在嫁接前一天浇透水。</w:t>
      </w:r>
      <w:r>
        <w:rPr>
          <w:rFonts w:ascii="仿宋_GB2312" w:hAnsi="宋体" w:eastAsia="仿宋_GB2312"/>
          <w:kern w:val="2"/>
          <w:sz w:val="28"/>
          <w:szCs w:val="28"/>
        </w:rPr>
        <w:t>砧木苗和接穗苗嫁接前一天喷施70％甲基硫菌灵可湿性粉剂1000倍液</w:t>
      </w:r>
      <w:r>
        <w:rPr>
          <w:rFonts w:hint="eastAsia" w:ascii="仿宋_GB2312" w:hAnsi="宋体" w:eastAsia="仿宋_GB2312"/>
          <w:kern w:val="2"/>
          <w:sz w:val="28"/>
          <w:szCs w:val="28"/>
        </w:rPr>
        <w:t>。</w:t>
      </w:r>
    </w:p>
    <w:p>
      <w:pPr>
        <w:ind w:firstLine="562" w:firstLineChars="200"/>
        <w:rPr>
          <w:rFonts w:ascii="仿宋_GB2312" w:hAnsi="宋体" w:eastAsia="仿宋_GB2312"/>
          <w:b/>
          <w:sz w:val="28"/>
          <w:szCs w:val="28"/>
        </w:rPr>
      </w:pPr>
      <w:r>
        <w:rPr>
          <w:rFonts w:hint="eastAsia" w:ascii="仿宋_GB2312" w:hAnsi="宋体" w:eastAsia="仿宋_GB2312"/>
          <w:b/>
          <w:sz w:val="28"/>
          <w:szCs w:val="28"/>
        </w:rPr>
        <w:t>3 断根嫁接优势</w:t>
      </w:r>
    </w:p>
    <w:p>
      <w:pPr>
        <w:pStyle w:val="26"/>
        <w:numPr>
          <w:ilvl w:val="0"/>
          <w:numId w:val="0"/>
        </w:numPr>
        <w:ind w:firstLine="560" w:firstLineChars="200"/>
        <w:rPr>
          <w:rFonts w:ascii="仿宋_GB2312" w:hAnsi="宋体" w:eastAsia="仿宋_GB2312"/>
          <w:b/>
          <w:kern w:val="2"/>
          <w:sz w:val="28"/>
          <w:szCs w:val="28"/>
        </w:rPr>
      </w:pPr>
      <w:r>
        <w:rPr>
          <w:rFonts w:hint="eastAsia" w:ascii="仿宋_GB2312" w:hAnsi="宋体" w:eastAsia="仿宋_GB2312"/>
          <w:kern w:val="2"/>
          <w:sz w:val="28"/>
          <w:szCs w:val="28"/>
        </w:rPr>
        <w:t>甜瓜嫁接育苗中应用较多的嫁接方法主要有：靠接、劈接、贴接、顶插接、断根嫁接等，其中断根嫁接是在插接基础上发展起来的一种嫁接方法，这种方法去掉了砧木原有的根系，在愈合的同时诱导新根系的产生。它的突出优势在以下几个方面：发出的新根（须根）数量多，根系活力强，与直根系相比，根系面积大，对水分和养分的吸收能力强，定植后生长快；嫁接速度快，可以将嫁接工序进行分解，特别适合育苗工厂进行操作；采用双断根可以有效控制由于砧木的徒长所导致的嫁接苗徒长问题，生产出的嫁接苗生长整齐，商品性好；采用双断根后再将嫁接苗回栽到穴盘时，可以调整子叶的方向，可以促进嫁接苗的成活。</w:t>
      </w:r>
    </w:p>
    <w:p>
      <w:pPr>
        <w:ind w:firstLine="562" w:firstLineChars="200"/>
        <w:rPr>
          <w:rFonts w:ascii="仿宋_GB2312" w:hAnsi="宋体" w:eastAsia="仿宋_GB2312"/>
          <w:b/>
          <w:sz w:val="28"/>
          <w:szCs w:val="28"/>
        </w:rPr>
      </w:pPr>
      <w:r>
        <w:rPr>
          <w:rFonts w:hint="eastAsia" w:ascii="仿宋_GB2312" w:hAnsi="宋体" w:eastAsia="仿宋_GB2312"/>
          <w:b/>
          <w:sz w:val="28"/>
          <w:szCs w:val="28"/>
        </w:rPr>
        <w:t>4嫁接后管理</w:t>
      </w:r>
    </w:p>
    <w:p>
      <w:pPr>
        <w:pStyle w:val="27"/>
        <w:numPr>
          <w:ilvl w:val="0"/>
          <w:numId w:val="0"/>
        </w:numPr>
        <w:ind w:firstLine="560" w:firstLineChars="200"/>
        <w:rPr>
          <w:rFonts w:ascii="仿宋_GB2312" w:hAnsi="宋体" w:eastAsia="仿宋_GB2312"/>
          <w:kern w:val="2"/>
          <w:sz w:val="28"/>
          <w:szCs w:val="28"/>
        </w:rPr>
      </w:pPr>
      <w:r>
        <w:rPr>
          <w:rFonts w:hint="eastAsia" w:ascii="仿宋_GB2312" w:hAnsi="宋体" w:eastAsia="仿宋_GB2312"/>
          <w:kern w:val="2"/>
          <w:sz w:val="28"/>
          <w:szCs w:val="28"/>
        </w:rPr>
        <w:t>嫁接</w:t>
      </w:r>
      <w:r>
        <w:rPr>
          <w:rFonts w:ascii="仿宋_GB2312" w:hAnsi="宋体" w:eastAsia="仿宋_GB2312"/>
          <w:kern w:val="2"/>
          <w:sz w:val="28"/>
          <w:szCs w:val="28"/>
        </w:rPr>
        <w:t>后愈合和炼苗环境控制</w:t>
      </w:r>
      <w:r>
        <w:rPr>
          <w:rFonts w:hint="eastAsia" w:ascii="仿宋_GB2312" w:hAnsi="宋体" w:eastAsia="仿宋_GB2312"/>
          <w:kern w:val="2"/>
          <w:sz w:val="28"/>
          <w:szCs w:val="28"/>
        </w:rPr>
        <w:t>主要讨论嫁接后秧苗回栽时的温度、湿度以及光照条件的控制，根据进行嫁接育苗时广西当地的自然气候条件，通过育苗设施的使用进行相关的调节，以期达到接后愈合和炼苗的最适宜条件。</w:t>
      </w:r>
    </w:p>
    <w:p>
      <w:pPr>
        <w:pStyle w:val="7"/>
        <w:shd w:val="clear" w:color="auto" w:fill="FFFFFF"/>
        <w:spacing w:before="0" w:beforeAutospacing="0" w:after="0" w:afterAutospacing="0"/>
        <w:ind w:firstLine="401"/>
        <w:jc w:val="both"/>
        <w:rPr>
          <w:rFonts w:ascii="仿宋_GB2312" w:eastAsia="仿宋_GB2312" w:cs="Times New Roman"/>
          <w:kern w:val="2"/>
          <w:sz w:val="28"/>
          <w:szCs w:val="28"/>
        </w:rPr>
      </w:pPr>
      <w:r>
        <w:rPr>
          <w:rFonts w:hint="eastAsia" w:ascii="仿宋_GB2312" w:eastAsia="仿宋_GB2312" w:cs="Times New Roman"/>
          <w:kern w:val="2"/>
          <w:sz w:val="28"/>
          <w:szCs w:val="28"/>
        </w:rPr>
        <w:t>1）光照管理</w:t>
      </w:r>
    </w:p>
    <w:p>
      <w:pPr>
        <w:pStyle w:val="27"/>
        <w:numPr>
          <w:ilvl w:val="0"/>
          <w:numId w:val="0"/>
        </w:numPr>
        <w:ind w:firstLine="560" w:firstLineChars="200"/>
        <w:rPr>
          <w:rFonts w:ascii="仿宋_GB2312" w:hAnsi="宋体" w:eastAsia="仿宋_GB2312"/>
          <w:kern w:val="2"/>
          <w:sz w:val="28"/>
          <w:szCs w:val="28"/>
        </w:rPr>
      </w:pPr>
      <w:r>
        <w:rPr>
          <w:rFonts w:hint="eastAsia" w:ascii="仿宋_GB2312" w:hAnsi="宋体" w:eastAsia="仿宋_GB2312"/>
          <w:kern w:val="2"/>
          <w:sz w:val="28"/>
          <w:szCs w:val="28"/>
        </w:rPr>
        <w:t>嫁接苗成活之前，要根据棚内的温度来进行光照管理。嫁接后前3～4天，嫁接苗就可以适当见光，但以散射光为主，避免阳光直射，见光的时间要短；嫁接后4～7天可逐渐延长光照时间，加大光照强度，一般在早晚见光，中午光照强烈时遮荫；嫁接1周后一般就不再需要遮荫，但要时刻注意天气变化，特别是多云转晴天气，转晴后接穗易萎蔫，一定要及时遮荫，经过见光—遮荫—见光的炼苗过程。</w:t>
      </w:r>
    </w:p>
    <w:p>
      <w:pPr>
        <w:pStyle w:val="7"/>
        <w:shd w:val="clear" w:color="auto" w:fill="FFFFFF"/>
        <w:spacing w:before="0" w:beforeAutospacing="0" w:after="0" w:afterAutospacing="0"/>
        <w:ind w:firstLine="401"/>
        <w:jc w:val="both"/>
        <w:rPr>
          <w:rFonts w:ascii="仿宋_GB2312" w:eastAsia="仿宋_GB2312" w:cs="Times New Roman"/>
          <w:kern w:val="2"/>
          <w:sz w:val="28"/>
          <w:szCs w:val="28"/>
        </w:rPr>
      </w:pPr>
      <w:r>
        <w:rPr>
          <w:rFonts w:hint="eastAsia" w:ascii="仿宋_GB2312" w:eastAsia="仿宋_GB2312" w:cs="Times New Roman"/>
          <w:kern w:val="2"/>
          <w:sz w:val="28"/>
          <w:szCs w:val="28"/>
        </w:rPr>
        <w:t>2）温度管理</w:t>
      </w:r>
    </w:p>
    <w:p>
      <w:pPr>
        <w:pStyle w:val="27"/>
        <w:numPr>
          <w:ilvl w:val="0"/>
          <w:numId w:val="0"/>
        </w:numPr>
        <w:ind w:firstLine="560" w:firstLineChars="200"/>
        <w:rPr>
          <w:rFonts w:ascii="仿宋_GB2312" w:hAnsi="宋体" w:eastAsia="仿宋_GB2312"/>
          <w:kern w:val="2"/>
          <w:sz w:val="28"/>
          <w:szCs w:val="28"/>
        </w:rPr>
      </w:pPr>
      <w:r>
        <w:rPr>
          <w:rFonts w:hint="eastAsia" w:ascii="仿宋_GB2312" w:hAnsi="宋体" w:eastAsia="仿宋_GB2312"/>
          <w:kern w:val="2"/>
          <w:sz w:val="28"/>
          <w:szCs w:val="28"/>
        </w:rPr>
        <w:t>嫁接后的温度管理可以分为5个阶段：1～6天为愈合期，温度白天控制在26℃～28℃，夜温控制在20℃～22℃；7～8天为适应期，温度可进一步降低，白天温度保持在22℃～25℃，夜间18℃～20℃；11天后为生长期，白天温度保持在25℃～30℃，晚上15℃～16℃；出圃前3～5天为炼苗期，温度继续降低，逐步达到定植后的环境温度。</w:t>
      </w:r>
    </w:p>
    <w:p>
      <w:pPr>
        <w:pStyle w:val="7"/>
        <w:shd w:val="clear" w:color="auto" w:fill="FFFFFF"/>
        <w:spacing w:before="0" w:beforeAutospacing="0" w:after="0" w:afterAutospacing="0"/>
        <w:ind w:firstLine="401"/>
        <w:jc w:val="both"/>
        <w:rPr>
          <w:rFonts w:ascii="仿宋_GB2312" w:eastAsia="仿宋_GB2312" w:cs="Times New Roman"/>
          <w:kern w:val="2"/>
          <w:sz w:val="28"/>
          <w:szCs w:val="28"/>
        </w:rPr>
      </w:pPr>
      <w:r>
        <w:rPr>
          <w:rFonts w:hint="eastAsia" w:ascii="仿宋_GB2312" w:eastAsia="仿宋_GB2312" w:cs="Times New Roman"/>
          <w:kern w:val="2"/>
          <w:sz w:val="28"/>
          <w:szCs w:val="28"/>
        </w:rPr>
        <w:t>3）湿度管理</w:t>
      </w:r>
    </w:p>
    <w:p>
      <w:pPr>
        <w:pStyle w:val="27"/>
        <w:numPr>
          <w:ilvl w:val="0"/>
          <w:numId w:val="0"/>
        </w:numPr>
        <w:ind w:firstLine="560" w:firstLineChars="200"/>
        <w:rPr>
          <w:rFonts w:ascii="仿宋_GB2312" w:hAnsi="宋体" w:eastAsia="仿宋_GB2312"/>
          <w:kern w:val="2"/>
          <w:sz w:val="28"/>
          <w:szCs w:val="28"/>
        </w:rPr>
      </w:pPr>
      <w:r>
        <w:rPr>
          <w:rFonts w:hint="eastAsia" w:ascii="仿宋_GB2312" w:hAnsi="宋体" w:eastAsia="仿宋_GB2312"/>
          <w:kern w:val="2"/>
          <w:sz w:val="28"/>
          <w:szCs w:val="28"/>
        </w:rPr>
        <w:t>湿度管理总的原则是“干不萎蔫，湿不积水”，即湿度应控制在接穗子叶不萎蔫，生长点不积水的范围内。晴天应以保湿为主，阴天宁干勿湿。嫁接后1～3天，以保湿为主，但接穗生长点应不积水；嫁接后4～5天，加强通风透光。通风一般选择在早晚光照不强时进行，通风的时间以接穗子叶不萎蔫为宜。当接穗开始萎蔫时，要立即保湿遮荫，待其恢复后再通风见光；通过上述过程反复炼苗，1周后就可进入正常的苗床管理。</w:t>
      </w:r>
    </w:p>
    <w:p>
      <w:pPr>
        <w:pStyle w:val="7"/>
        <w:shd w:val="clear" w:color="auto" w:fill="FFFFFF"/>
        <w:spacing w:before="0" w:beforeAutospacing="0" w:after="0" w:afterAutospacing="0"/>
        <w:ind w:firstLine="401"/>
        <w:jc w:val="both"/>
        <w:rPr>
          <w:rFonts w:ascii="仿宋_GB2312" w:eastAsia="仿宋_GB2312" w:cs="Times New Roman"/>
          <w:kern w:val="2"/>
          <w:sz w:val="28"/>
          <w:szCs w:val="28"/>
        </w:rPr>
      </w:pPr>
      <w:r>
        <w:rPr>
          <w:rFonts w:hint="eastAsia" w:ascii="仿宋_GB2312" w:eastAsia="仿宋_GB2312" w:cs="Times New Roman"/>
          <w:kern w:val="2"/>
          <w:sz w:val="28"/>
          <w:szCs w:val="28"/>
        </w:rPr>
        <w:t>4）其他管理</w:t>
      </w:r>
    </w:p>
    <w:p>
      <w:pPr>
        <w:pStyle w:val="27"/>
        <w:numPr>
          <w:ilvl w:val="0"/>
          <w:numId w:val="0"/>
        </w:numPr>
        <w:ind w:firstLine="560" w:firstLineChars="200"/>
        <w:rPr>
          <w:rFonts w:ascii="仿宋_GB2312" w:hAnsi="宋体" w:eastAsia="仿宋_GB2312"/>
          <w:kern w:val="2"/>
          <w:sz w:val="28"/>
          <w:szCs w:val="28"/>
        </w:rPr>
      </w:pPr>
      <w:r>
        <w:rPr>
          <w:rFonts w:hint="eastAsia" w:ascii="仿宋_GB2312" w:hAnsi="宋体" w:eastAsia="仿宋_GB2312"/>
          <w:kern w:val="2"/>
          <w:sz w:val="28"/>
          <w:szCs w:val="28"/>
        </w:rPr>
        <w:t>培育壮苗，预防出现茎细、叶小、色淡等脱肥症状。嫁接苗愈合成活后每隔7～10天淋施一次0.1％～0.3％复合肥（15-15-15）水溶液。及时剔除砧木长出的不定芽，保证接穗的健康生长。去侧芽时切忌损伤砧木子叶及接穗。嫁接苗定植前5～7天开始炼苗，应加大通风、降低温度、减少水分、增加光照时间和强度，出苗前喷施1遍杀菌剂。病虫害防治按DB45/T 1969《甜瓜嫁接苗生产技术规程》的规定执行。</w:t>
      </w:r>
    </w:p>
    <w:p>
      <w:pPr>
        <w:ind w:firstLine="562" w:firstLineChars="200"/>
        <w:rPr>
          <w:rFonts w:ascii="仿宋_GB2312" w:hAnsi="宋体" w:eastAsia="仿宋_GB2312"/>
          <w:b/>
          <w:sz w:val="28"/>
          <w:szCs w:val="28"/>
        </w:rPr>
      </w:pPr>
      <w:r>
        <w:rPr>
          <w:rFonts w:hint="eastAsia" w:ascii="仿宋_GB2312" w:hAnsi="宋体" w:eastAsia="仿宋_GB2312"/>
          <w:b/>
          <w:sz w:val="28"/>
          <w:szCs w:val="28"/>
        </w:rPr>
        <w:t>5出圃</w:t>
      </w:r>
    </w:p>
    <w:p>
      <w:pPr>
        <w:pStyle w:val="27"/>
        <w:numPr>
          <w:ilvl w:val="0"/>
          <w:numId w:val="0"/>
        </w:numPr>
        <w:ind w:firstLine="560" w:firstLineChars="200"/>
        <w:rPr>
          <w:rFonts w:ascii="仿宋_GB2312" w:hAnsi="宋体" w:eastAsia="仿宋_GB2312"/>
          <w:kern w:val="2"/>
          <w:sz w:val="28"/>
          <w:szCs w:val="28"/>
        </w:rPr>
      </w:pPr>
      <w:r>
        <w:rPr>
          <w:rFonts w:hint="eastAsia" w:ascii="仿宋_GB2312" w:hAnsi="宋体" w:eastAsia="仿宋_GB2312"/>
          <w:kern w:val="2"/>
          <w:sz w:val="28"/>
          <w:szCs w:val="28"/>
        </w:rPr>
        <w:t>嫁接苗质量应符合无检疫性病害，植株健壮，嫁接部位愈合良好，有2～4片真叶，叶片宽、舒展，叶色浓绿、肥厚，无卷缩、病斑，无虫害，根坨成形，根系发达、须根多；未合格的小苗应挑出继续管理，合格后再出圃。</w:t>
      </w:r>
    </w:p>
    <w:p>
      <w:pPr>
        <w:pStyle w:val="12"/>
        <w:numPr>
          <w:ilvl w:val="0"/>
          <w:numId w:val="5"/>
        </w:numPr>
        <w:adjustRightInd w:val="0"/>
        <w:snapToGrid w:val="0"/>
        <w:spacing w:beforeLines="50" w:line="360" w:lineRule="auto"/>
        <w:ind w:firstLineChars="0"/>
        <w:jc w:val="left"/>
        <w:rPr>
          <w:rFonts w:ascii="黑体" w:hAnsi="黑体" w:eastAsia="黑体" w:cs="黑体"/>
          <w:bCs/>
          <w:sz w:val="32"/>
          <w:szCs w:val="32"/>
          <w:lang w:val="zh-CN"/>
        </w:rPr>
      </w:pPr>
      <w:bookmarkStart w:id="1" w:name="_GoBack"/>
      <w:bookmarkEnd w:id="1"/>
      <w:r>
        <w:rPr>
          <w:rFonts w:hint="eastAsia" w:ascii="黑体" w:hAnsi="黑体" w:eastAsia="黑体" w:cs="黑体"/>
          <w:bCs/>
          <w:kern w:val="2"/>
          <w:sz w:val="32"/>
          <w:szCs w:val="32"/>
          <w:lang w:val="zh-CN" w:eastAsia="zh-CN" w:bidi="ar-SA"/>
        </w:rPr>
        <w:t>国内外同类标准制修订情况及与法律法规、强制性标准关</w:t>
      </w:r>
      <w:r>
        <w:rPr>
          <w:rFonts w:hint="eastAsia" w:ascii="黑体" w:hAnsi="黑体" w:eastAsia="黑体" w:cs="黑体"/>
          <w:bCs/>
          <w:sz w:val="32"/>
          <w:szCs w:val="32"/>
          <w:lang w:val="zh-CN"/>
        </w:rPr>
        <w:t>系</w:t>
      </w:r>
    </w:p>
    <w:p>
      <w:pPr>
        <w:ind w:firstLine="560" w:firstLineChars="200"/>
        <w:rPr>
          <w:rFonts w:ascii="仿宋_GB2312" w:hAnsi="宋体" w:eastAsia="仿宋_GB2312"/>
          <w:sz w:val="28"/>
          <w:szCs w:val="28"/>
          <w:lang w:val="zh-CN"/>
        </w:rPr>
      </w:pPr>
      <w:r>
        <w:rPr>
          <w:rFonts w:hint="eastAsia" w:ascii="仿宋_GB2312" w:hAnsi="宋体" w:eastAsia="仿宋_GB2312"/>
          <w:sz w:val="28"/>
          <w:szCs w:val="28"/>
          <w:lang w:val="zh-CN"/>
        </w:rPr>
        <w:t>经查阅，国内与甜瓜断根嫁接育苗技术有关的国家、行业及地方标准有：DB45/T 196</w:t>
      </w:r>
      <w:r>
        <w:rPr>
          <w:rFonts w:hint="eastAsia" w:ascii="仿宋" w:hAnsi="仿宋" w:eastAsia="仿宋"/>
          <w:sz w:val="28"/>
          <w:szCs w:val="28"/>
          <w:lang w:val="zh-CN"/>
        </w:rPr>
        <w:t>9-2019《甜瓜嫁接苗生产技术规程》。以上标准主要介绍甜瓜通过顶插接法、靠接法</w:t>
      </w:r>
      <w:r>
        <w:rPr>
          <w:rFonts w:hint="eastAsia" w:ascii="仿宋" w:hAnsi="仿宋" w:eastAsia="仿宋" w:cs="宋体"/>
          <w:sz w:val="28"/>
          <w:szCs w:val="28"/>
          <w:lang w:val="zh-CN"/>
        </w:rPr>
        <w:t>等进行嫁接育苗，与</w:t>
      </w:r>
      <w:r>
        <w:rPr>
          <w:rFonts w:hint="eastAsia" w:ascii="仿宋" w:hAnsi="仿宋" w:eastAsia="仿宋"/>
          <w:sz w:val="28"/>
          <w:szCs w:val="28"/>
          <w:lang w:val="zh-CN"/>
        </w:rPr>
        <w:t>甜瓜断根嫁接育苗</w:t>
      </w:r>
      <w:r>
        <w:rPr>
          <w:rFonts w:hint="eastAsia" w:ascii="仿宋_GB2312" w:hAnsi="宋体" w:eastAsia="仿宋_GB2312"/>
          <w:sz w:val="28"/>
          <w:szCs w:val="28"/>
          <w:lang w:val="zh-CN"/>
        </w:rPr>
        <w:t>存在较大差异，不能满足对</w:t>
      </w:r>
      <w:r>
        <w:rPr>
          <w:rFonts w:hint="eastAsia" w:ascii="仿宋" w:hAnsi="仿宋" w:eastAsia="仿宋"/>
          <w:sz w:val="28"/>
          <w:szCs w:val="28"/>
          <w:lang w:val="zh-CN"/>
        </w:rPr>
        <w:t>甜瓜断根嫁接育苗技术</w:t>
      </w:r>
      <w:r>
        <w:rPr>
          <w:rFonts w:hint="eastAsia" w:ascii="仿宋_GB2312" w:hAnsi="宋体" w:eastAsia="仿宋_GB2312"/>
          <w:sz w:val="28"/>
          <w:szCs w:val="28"/>
          <w:lang w:val="zh-CN"/>
        </w:rPr>
        <w:t>的指导。</w:t>
      </w:r>
    </w:p>
    <w:p>
      <w:pPr>
        <w:ind w:firstLine="560" w:firstLineChars="200"/>
        <w:rPr>
          <w:rFonts w:ascii="仿宋_GB2312" w:hAnsi="宋体" w:eastAsia="仿宋_GB2312"/>
          <w:sz w:val="28"/>
          <w:szCs w:val="28"/>
        </w:rPr>
      </w:pPr>
      <w:r>
        <w:rPr>
          <w:rFonts w:hint="eastAsia" w:ascii="仿宋_GB2312" w:hAnsi="宋体" w:eastAsia="仿宋_GB2312"/>
          <w:sz w:val="28"/>
          <w:szCs w:val="28"/>
          <w:lang w:val="zh-CN"/>
        </w:rPr>
        <w:t>本标准的内容与现行的法律、法规及强制性标准无冲突，标准的编写符合</w:t>
      </w:r>
      <w:r>
        <w:rPr>
          <w:rFonts w:hint="eastAsia" w:ascii="仿宋_GB2312" w:hAnsi="宋体" w:eastAsia="仿宋_GB2312"/>
          <w:sz w:val="28"/>
          <w:szCs w:val="28"/>
        </w:rPr>
        <w:t>GB/T 1.1-2020的要求。</w:t>
      </w:r>
    </w:p>
    <w:p>
      <w:pPr>
        <w:adjustRightInd w:val="0"/>
        <w:snapToGrid w:val="0"/>
        <w:spacing w:beforeLines="50" w:line="360" w:lineRule="auto"/>
        <w:ind w:left="505"/>
        <w:rPr>
          <w:rFonts w:ascii="黑体" w:hAnsi="黑体" w:eastAsia="黑体" w:cs="黑体"/>
          <w:bCs/>
          <w:sz w:val="32"/>
          <w:szCs w:val="32"/>
        </w:rPr>
      </w:pPr>
      <w:r>
        <w:rPr>
          <w:rFonts w:hint="eastAsia" w:ascii="黑体" w:hAnsi="黑体" w:eastAsia="黑体" w:cs="黑体"/>
          <w:bCs/>
          <w:sz w:val="32"/>
          <w:szCs w:val="32"/>
        </w:rPr>
        <w:t>七、重大分歧意见发处理经过和依据</w:t>
      </w:r>
    </w:p>
    <w:p>
      <w:pPr>
        <w:spacing w:line="520" w:lineRule="exact"/>
        <w:ind w:firstLine="560" w:firstLineChars="200"/>
        <w:rPr>
          <w:rFonts w:ascii="仿宋_GB2312" w:hAnsi="宋体" w:eastAsia="仿宋_GB2312"/>
          <w:sz w:val="28"/>
          <w:szCs w:val="28"/>
        </w:rPr>
      </w:pPr>
      <w:r>
        <w:rPr>
          <w:rFonts w:hint="eastAsia" w:ascii="仿宋_GB2312" w:hAnsi="宋体" w:eastAsia="仿宋_GB2312"/>
          <w:sz w:val="28"/>
          <w:szCs w:val="28"/>
        </w:rPr>
        <w:t>本标准研制过程中无重大分歧意见。</w:t>
      </w:r>
    </w:p>
    <w:p>
      <w:pPr>
        <w:spacing w:line="520" w:lineRule="exact"/>
        <w:ind w:firstLine="560" w:firstLineChars="200"/>
        <w:rPr>
          <w:rFonts w:ascii="仿宋_GB2312" w:hAnsi="宋体" w:eastAsia="仿宋_GB2312"/>
          <w:sz w:val="28"/>
          <w:szCs w:val="28"/>
          <w:lang w:val="zh-CN"/>
        </w:rPr>
      </w:pPr>
    </w:p>
    <w:p>
      <w:pPr>
        <w:spacing w:line="520" w:lineRule="exact"/>
        <w:ind w:firstLine="560" w:firstLineChars="200"/>
        <w:rPr>
          <w:rFonts w:ascii="仿宋_GB2312" w:hAnsi="宋体" w:eastAsia="仿宋_GB2312"/>
          <w:sz w:val="28"/>
          <w:szCs w:val="28"/>
          <w:lang w:val="zh-CN"/>
        </w:rPr>
      </w:pPr>
    </w:p>
    <w:p>
      <w:pPr>
        <w:spacing w:line="520" w:lineRule="exact"/>
        <w:ind w:firstLine="560" w:firstLineChars="200"/>
        <w:outlineLvl w:val="0"/>
        <w:rPr>
          <w:rFonts w:ascii="仿宋_GB2312" w:hAnsi="宋体" w:eastAsia="仿宋_GB2312"/>
          <w:sz w:val="28"/>
          <w:szCs w:val="28"/>
          <w:lang w:val="zh-CN"/>
        </w:rPr>
      </w:pPr>
      <w:r>
        <w:rPr>
          <w:rFonts w:hint="eastAsia" w:ascii="仿宋_GB2312" w:hAnsi="宋体" w:eastAsia="仿宋_GB2312"/>
          <w:sz w:val="28"/>
          <w:szCs w:val="28"/>
          <w:lang w:val="zh-CN"/>
        </w:rPr>
        <w:t xml:space="preserve">                  团体标准 《甜瓜断根嫁接育苗技术规程》</w:t>
      </w:r>
    </w:p>
    <w:p>
      <w:pPr>
        <w:spacing w:line="520" w:lineRule="exact"/>
        <w:ind w:firstLine="5180" w:firstLineChars="1850"/>
        <w:rPr>
          <w:rFonts w:ascii="仿宋_GB2312" w:hAnsi="宋体" w:eastAsia="仿宋_GB2312"/>
          <w:sz w:val="28"/>
          <w:szCs w:val="28"/>
          <w:lang w:val="zh-CN"/>
        </w:rPr>
      </w:pPr>
      <w:r>
        <w:rPr>
          <w:rFonts w:hint="eastAsia" w:ascii="仿宋_GB2312" w:hAnsi="宋体" w:eastAsia="仿宋_GB2312"/>
          <w:sz w:val="28"/>
          <w:szCs w:val="28"/>
          <w:lang w:val="zh-CN"/>
        </w:rPr>
        <w:t>标准编制小组</w:t>
      </w:r>
    </w:p>
    <w:p>
      <w:pPr>
        <w:spacing w:line="520" w:lineRule="exact"/>
        <w:ind w:firstLine="560" w:firstLineChars="200"/>
        <w:rPr>
          <w:rFonts w:ascii="仿宋_GB2312" w:hAnsi="宋体" w:eastAsia="仿宋_GB2312"/>
          <w:sz w:val="28"/>
          <w:szCs w:val="28"/>
        </w:rPr>
      </w:pPr>
      <w:r>
        <w:rPr>
          <w:rFonts w:hint="eastAsia" w:ascii="仿宋_GB2312" w:hAnsi="宋体" w:eastAsia="仿宋_GB2312"/>
          <w:sz w:val="28"/>
          <w:szCs w:val="28"/>
          <w:lang w:val="zh-CN"/>
        </w:rPr>
        <w:t xml:space="preserve">                               </w:t>
      </w:r>
      <w:r>
        <w:rPr>
          <w:rFonts w:hint="eastAsia" w:ascii="仿宋_GB2312" w:hAnsi="宋体" w:eastAsia="仿宋_GB2312"/>
          <w:sz w:val="28"/>
          <w:szCs w:val="28"/>
        </w:rPr>
        <w:t>2021</w:t>
      </w:r>
      <w:r>
        <w:rPr>
          <w:rFonts w:hint="eastAsia" w:ascii="仿宋_GB2312" w:hAnsi="宋体" w:eastAsia="仿宋_GB2312"/>
          <w:sz w:val="28"/>
          <w:szCs w:val="28"/>
          <w:lang w:val="zh-CN"/>
        </w:rPr>
        <w:t>年</w:t>
      </w:r>
      <w:r>
        <w:rPr>
          <w:rFonts w:hint="eastAsia" w:ascii="仿宋_GB2312" w:hAnsi="宋体" w:eastAsia="仿宋_GB2312"/>
          <w:sz w:val="28"/>
          <w:szCs w:val="28"/>
          <w:lang w:val="en-US" w:eastAsia="zh-CN"/>
        </w:rPr>
        <w:t>3</w:t>
      </w:r>
      <w:r>
        <w:rPr>
          <w:rFonts w:hint="eastAsia" w:ascii="仿宋_GB2312" w:hAnsi="宋体" w:eastAsia="仿宋_GB2312"/>
          <w:sz w:val="28"/>
          <w:szCs w:val="28"/>
          <w:lang w:val="zh-CN"/>
        </w:rPr>
        <w:t>月</w:t>
      </w:r>
      <w:r>
        <w:rPr>
          <w:rFonts w:hint="eastAsia" w:ascii="仿宋_GB2312" w:hAnsi="宋体" w:eastAsia="仿宋_GB2312"/>
          <w:sz w:val="28"/>
          <w:szCs w:val="28"/>
          <w:lang w:val="en-US" w:eastAsia="zh-CN"/>
        </w:rPr>
        <w:t>25</w:t>
      </w:r>
      <w:r>
        <w:rPr>
          <w:rFonts w:hint="eastAsia" w:ascii="仿宋_GB2312" w:hAnsi="宋体" w:eastAsia="仿宋_GB2312"/>
          <w:sz w:val="28"/>
          <w:szCs w:val="28"/>
        </w:rPr>
        <w:t>日</w:t>
      </w:r>
    </w:p>
    <w:p/>
    <w:sectPr>
      <w:pgSz w:w="11906" w:h="16838"/>
      <w:pgMar w:top="1440" w:right="1417" w:bottom="1440" w:left="141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7EC27CF"/>
    <w:multiLevelType w:val="singleLevel"/>
    <w:tmpl w:val="F7EC27CF"/>
    <w:lvl w:ilvl="0" w:tentative="0">
      <w:start w:val="4"/>
      <w:numFmt w:val="chineseCounting"/>
      <w:suff w:val="nothing"/>
      <w:lvlText w:val="（%1）"/>
      <w:lvlJc w:val="left"/>
      <w:rPr>
        <w:rFonts w:hint="eastAsia"/>
      </w:rPr>
    </w:lvl>
  </w:abstractNum>
  <w:abstractNum w:abstractNumId="1">
    <w:nsid w:val="124174A8"/>
    <w:multiLevelType w:val="multilevel"/>
    <w:tmpl w:val="124174A8"/>
    <w:lvl w:ilvl="0" w:tentative="0">
      <w:start w:val="1"/>
      <w:numFmt w:val="japaneseCounting"/>
      <w:lvlText w:val="%1、"/>
      <w:lvlJc w:val="left"/>
      <w:pPr>
        <w:ind w:left="1224" w:hanging="720"/>
      </w:pPr>
      <w:rPr>
        <w:rFonts w:hint="default"/>
      </w:rPr>
    </w:lvl>
    <w:lvl w:ilvl="1" w:tentative="0">
      <w:start w:val="1"/>
      <w:numFmt w:val="lowerLetter"/>
      <w:lvlText w:val="%2)"/>
      <w:lvlJc w:val="left"/>
      <w:pPr>
        <w:ind w:left="1344" w:hanging="420"/>
      </w:pPr>
    </w:lvl>
    <w:lvl w:ilvl="2" w:tentative="0">
      <w:start w:val="1"/>
      <w:numFmt w:val="lowerRoman"/>
      <w:lvlText w:val="%3."/>
      <w:lvlJc w:val="right"/>
      <w:pPr>
        <w:ind w:left="1764" w:hanging="420"/>
      </w:pPr>
    </w:lvl>
    <w:lvl w:ilvl="3" w:tentative="0">
      <w:start w:val="1"/>
      <w:numFmt w:val="decimal"/>
      <w:lvlText w:val="%4."/>
      <w:lvlJc w:val="left"/>
      <w:pPr>
        <w:ind w:left="2184" w:hanging="420"/>
      </w:pPr>
    </w:lvl>
    <w:lvl w:ilvl="4" w:tentative="0">
      <w:start w:val="1"/>
      <w:numFmt w:val="lowerLetter"/>
      <w:lvlText w:val="%5)"/>
      <w:lvlJc w:val="left"/>
      <w:pPr>
        <w:ind w:left="2604" w:hanging="420"/>
      </w:pPr>
    </w:lvl>
    <w:lvl w:ilvl="5" w:tentative="0">
      <w:start w:val="1"/>
      <w:numFmt w:val="lowerRoman"/>
      <w:lvlText w:val="%6."/>
      <w:lvlJc w:val="right"/>
      <w:pPr>
        <w:ind w:left="3024" w:hanging="420"/>
      </w:pPr>
    </w:lvl>
    <w:lvl w:ilvl="6" w:tentative="0">
      <w:start w:val="1"/>
      <w:numFmt w:val="decimal"/>
      <w:lvlText w:val="%7."/>
      <w:lvlJc w:val="left"/>
      <w:pPr>
        <w:ind w:left="3444" w:hanging="420"/>
      </w:pPr>
    </w:lvl>
    <w:lvl w:ilvl="7" w:tentative="0">
      <w:start w:val="1"/>
      <w:numFmt w:val="lowerLetter"/>
      <w:lvlText w:val="%8)"/>
      <w:lvlJc w:val="left"/>
      <w:pPr>
        <w:ind w:left="3864" w:hanging="420"/>
      </w:pPr>
    </w:lvl>
    <w:lvl w:ilvl="8" w:tentative="0">
      <w:start w:val="1"/>
      <w:numFmt w:val="lowerRoman"/>
      <w:lvlText w:val="%9."/>
      <w:lvlJc w:val="right"/>
      <w:pPr>
        <w:ind w:left="4284" w:hanging="420"/>
      </w:pPr>
    </w:lvl>
  </w:abstractNum>
  <w:abstractNum w:abstractNumId="2">
    <w:nsid w:val="20494293"/>
    <w:multiLevelType w:val="multilevel"/>
    <w:tmpl w:val="20494293"/>
    <w:lvl w:ilvl="0" w:tentative="0">
      <w:start w:val="5"/>
      <w:numFmt w:val="japaneseCounting"/>
      <w:lvlText w:val="%1、"/>
      <w:lvlJc w:val="left"/>
      <w:pPr>
        <w:ind w:left="1225" w:hanging="720"/>
      </w:pPr>
      <w:rPr>
        <w:rFonts w:hint="default"/>
      </w:rPr>
    </w:lvl>
    <w:lvl w:ilvl="1" w:tentative="0">
      <w:start w:val="1"/>
      <w:numFmt w:val="lowerLetter"/>
      <w:lvlText w:val="%2)"/>
      <w:lvlJc w:val="left"/>
      <w:pPr>
        <w:ind w:left="1345" w:hanging="420"/>
      </w:pPr>
    </w:lvl>
    <w:lvl w:ilvl="2" w:tentative="0">
      <w:start w:val="1"/>
      <w:numFmt w:val="lowerRoman"/>
      <w:lvlText w:val="%3."/>
      <w:lvlJc w:val="right"/>
      <w:pPr>
        <w:ind w:left="1765" w:hanging="420"/>
      </w:pPr>
    </w:lvl>
    <w:lvl w:ilvl="3" w:tentative="0">
      <w:start w:val="1"/>
      <w:numFmt w:val="decimal"/>
      <w:lvlText w:val="%4."/>
      <w:lvlJc w:val="left"/>
      <w:pPr>
        <w:ind w:left="2185" w:hanging="420"/>
      </w:pPr>
    </w:lvl>
    <w:lvl w:ilvl="4" w:tentative="0">
      <w:start w:val="1"/>
      <w:numFmt w:val="lowerLetter"/>
      <w:lvlText w:val="%5)"/>
      <w:lvlJc w:val="left"/>
      <w:pPr>
        <w:ind w:left="2605" w:hanging="420"/>
      </w:pPr>
    </w:lvl>
    <w:lvl w:ilvl="5" w:tentative="0">
      <w:start w:val="1"/>
      <w:numFmt w:val="lowerRoman"/>
      <w:lvlText w:val="%6."/>
      <w:lvlJc w:val="right"/>
      <w:pPr>
        <w:ind w:left="3025" w:hanging="420"/>
      </w:pPr>
    </w:lvl>
    <w:lvl w:ilvl="6" w:tentative="0">
      <w:start w:val="1"/>
      <w:numFmt w:val="decimal"/>
      <w:lvlText w:val="%7."/>
      <w:lvlJc w:val="left"/>
      <w:pPr>
        <w:ind w:left="3445" w:hanging="420"/>
      </w:pPr>
    </w:lvl>
    <w:lvl w:ilvl="7" w:tentative="0">
      <w:start w:val="1"/>
      <w:numFmt w:val="lowerLetter"/>
      <w:lvlText w:val="%8)"/>
      <w:lvlJc w:val="left"/>
      <w:pPr>
        <w:ind w:left="3865" w:hanging="420"/>
      </w:pPr>
    </w:lvl>
    <w:lvl w:ilvl="8" w:tentative="0">
      <w:start w:val="1"/>
      <w:numFmt w:val="lowerRoman"/>
      <w:lvlText w:val="%9."/>
      <w:lvlJc w:val="right"/>
      <w:pPr>
        <w:ind w:left="4285" w:hanging="420"/>
      </w:pPr>
    </w:lvl>
  </w:abstractNum>
  <w:abstractNum w:abstractNumId="3">
    <w:nsid w:val="6CEA2025"/>
    <w:multiLevelType w:val="multilevel"/>
    <w:tmpl w:val="6CEA2025"/>
    <w:lvl w:ilvl="0" w:tentative="0">
      <w:start w:val="1"/>
      <w:numFmt w:val="none"/>
      <w:pStyle w:val="25"/>
      <w:suff w:val="nothing"/>
      <w:lvlText w:val="%1"/>
      <w:lvlJc w:val="left"/>
      <w:pPr>
        <w:ind w:left="0" w:firstLine="0"/>
      </w:pPr>
      <w:rPr>
        <w:rFonts w:hint="eastAsia"/>
      </w:rPr>
    </w:lvl>
    <w:lvl w:ilvl="1" w:tentative="0">
      <w:start w:val="1"/>
      <w:numFmt w:val="decimal"/>
      <w:pStyle w:val="23"/>
      <w:suff w:val="nothing"/>
      <w:lvlText w:val="%1%2　"/>
      <w:lvlJc w:val="left"/>
      <w:pPr>
        <w:ind w:left="0" w:firstLine="0"/>
      </w:pPr>
      <w:rPr>
        <w:rFonts w:hint="eastAsia" w:ascii="黑体" w:eastAsia="黑体"/>
        <w:b w:val="0"/>
        <w:i w:val="0"/>
        <w:sz w:val="21"/>
      </w:rPr>
    </w:lvl>
    <w:lvl w:ilvl="2" w:tentative="0">
      <w:start w:val="1"/>
      <w:numFmt w:val="decimal"/>
      <w:pStyle w:val="24"/>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19"/>
      <w:suff w:val="nothing"/>
      <w:lvlText w:val="%1%2.%3.%4　"/>
      <w:lvlJc w:val="left"/>
      <w:pPr>
        <w:ind w:left="0" w:firstLine="0"/>
      </w:pPr>
      <w:rPr>
        <w:rFonts w:hint="eastAsia" w:ascii="黑体" w:eastAsia="黑体"/>
        <w:b w:val="0"/>
        <w:i w:val="0"/>
        <w:sz w:val="21"/>
      </w:rPr>
    </w:lvl>
    <w:lvl w:ilvl="4" w:tentative="0">
      <w:start w:val="1"/>
      <w:numFmt w:val="decimal"/>
      <w:pStyle w:val="20"/>
      <w:suff w:val="nothing"/>
      <w:lvlText w:val="%1%2.%3.%4.%5　"/>
      <w:lvlJc w:val="left"/>
      <w:pPr>
        <w:ind w:left="0" w:firstLine="0"/>
      </w:pPr>
      <w:rPr>
        <w:rFonts w:hint="eastAsia" w:ascii="黑体" w:eastAsia="黑体"/>
        <w:b w:val="0"/>
        <w:i w:val="0"/>
        <w:sz w:val="21"/>
      </w:rPr>
    </w:lvl>
    <w:lvl w:ilvl="5" w:tentative="0">
      <w:start w:val="1"/>
      <w:numFmt w:val="decimal"/>
      <w:pStyle w:val="21"/>
      <w:suff w:val="nothing"/>
      <w:lvlText w:val="%1%2.%3.%4.%5.%6　"/>
      <w:lvlJc w:val="left"/>
      <w:pPr>
        <w:ind w:left="0" w:firstLine="0"/>
      </w:pPr>
      <w:rPr>
        <w:rFonts w:hint="eastAsia" w:ascii="黑体" w:eastAsia="黑体"/>
        <w:b w:val="0"/>
        <w:i w:val="0"/>
        <w:sz w:val="21"/>
      </w:rPr>
    </w:lvl>
    <w:lvl w:ilvl="6" w:tentative="0">
      <w:start w:val="1"/>
      <w:numFmt w:val="decimal"/>
      <w:pStyle w:val="22"/>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74664EEB"/>
    <w:multiLevelType w:val="multilevel"/>
    <w:tmpl w:val="74664EEB"/>
    <w:lvl w:ilvl="0" w:tentative="0">
      <w:start w:val="1"/>
      <w:numFmt w:val="japaneseCounting"/>
      <w:pStyle w:val="27"/>
      <w:lvlText w:val="%1、"/>
      <w:lvlJc w:val="left"/>
      <w:pPr>
        <w:ind w:left="504" w:hanging="504"/>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0"/>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52F40A7A"/>
    <w:rsid w:val="00007A3B"/>
    <w:rsid w:val="000512D3"/>
    <w:rsid w:val="00056E03"/>
    <w:rsid w:val="000909BA"/>
    <w:rsid w:val="000B6C8F"/>
    <w:rsid w:val="000C482C"/>
    <w:rsid w:val="000C73B6"/>
    <w:rsid w:val="000D4AA2"/>
    <w:rsid w:val="000E1F56"/>
    <w:rsid w:val="000F666F"/>
    <w:rsid w:val="001117EC"/>
    <w:rsid w:val="001379D8"/>
    <w:rsid w:val="00153708"/>
    <w:rsid w:val="00160605"/>
    <w:rsid w:val="00192652"/>
    <w:rsid w:val="001B3206"/>
    <w:rsid w:val="001D20FE"/>
    <w:rsid w:val="001E0C5E"/>
    <w:rsid w:val="001E22DF"/>
    <w:rsid w:val="0020586B"/>
    <w:rsid w:val="00210294"/>
    <w:rsid w:val="00216C5F"/>
    <w:rsid w:val="002172C1"/>
    <w:rsid w:val="00224154"/>
    <w:rsid w:val="00231022"/>
    <w:rsid w:val="00266580"/>
    <w:rsid w:val="0029495C"/>
    <w:rsid w:val="002978BA"/>
    <w:rsid w:val="002A1A2A"/>
    <w:rsid w:val="002E08EB"/>
    <w:rsid w:val="003114F8"/>
    <w:rsid w:val="00330246"/>
    <w:rsid w:val="00344DCA"/>
    <w:rsid w:val="00361BA1"/>
    <w:rsid w:val="00362592"/>
    <w:rsid w:val="00364D16"/>
    <w:rsid w:val="0039281A"/>
    <w:rsid w:val="003C1FC4"/>
    <w:rsid w:val="003C75FC"/>
    <w:rsid w:val="003D4CDC"/>
    <w:rsid w:val="003E3A46"/>
    <w:rsid w:val="00401A7C"/>
    <w:rsid w:val="00433889"/>
    <w:rsid w:val="00466A67"/>
    <w:rsid w:val="004711AC"/>
    <w:rsid w:val="0047343A"/>
    <w:rsid w:val="00482E23"/>
    <w:rsid w:val="0048798C"/>
    <w:rsid w:val="004B216E"/>
    <w:rsid w:val="004C7DEA"/>
    <w:rsid w:val="004D1112"/>
    <w:rsid w:val="00505174"/>
    <w:rsid w:val="005261CB"/>
    <w:rsid w:val="005353A9"/>
    <w:rsid w:val="0055275D"/>
    <w:rsid w:val="005968B3"/>
    <w:rsid w:val="00597CAF"/>
    <w:rsid w:val="005B1C23"/>
    <w:rsid w:val="005B6BA9"/>
    <w:rsid w:val="00611246"/>
    <w:rsid w:val="00613ED1"/>
    <w:rsid w:val="00626D7F"/>
    <w:rsid w:val="00634B08"/>
    <w:rsid w:val="006722D3"/>
    <w:rsid w:val="006A5B11"/>
    <w:rsid w:val="006B7A71"/>
    <w:rsid w:val="006D70EC"/>
    <w:rsid w:val="006D73AF"/>
    <w:rsid w:val="006E7197"/>
    <w:rsid w:val="006F1440"/>
    <w:rsid w:val="0070740B"/>
    <w:rsid w:val="00721EE2"/>
    <w:rsid w:val="007A5579"/>
    <w:rsid w:val="007A5904"/>
    <w:rsid w:val="007E2316"/>
    <w:rsid w:val="007F37EE"/>
    <w:rsid w:val="007F78F7"/>
    <w:rsid w:val="00800EA9"/>
    <w:rsid w:val="00803B2B"/>
    <w:rsid w:val="00812919"/>
    <w:rsid w:val="0085556B"/>
    <w:rsid w:val="00893ACB"/>
    <w:rsid w:val="008A532F"/>
    <w:rsid w:val="008E0B5B"/>
    <w:rsid w:val="00906298"/>
    <w:rsid w:val="00906AA1"/>
    <w:rsid w:val="009332A7"/>
    <w:rsid w:val="00940E4F"/>
    <w:rsid w:val="00954336"/>
    <w:rsid w:val="009630F8"/>
    <w:rsid w:val="00964CC9"/>
    <w:rsid w:val="0098137C"/>
    <w:rsid w:val="00982776"/>
    <w:rsid w:val="00982B8F"/>
    <w:rsid w:val="00987678"/>
    <w:rsid w:val="009916B1"/>
    <w:rsid w:val="009B0913"/>
    <w:rsid w:val="009B75B2"/>
    <w:rsid w:val="009B77F5"/>
    <w:rsid w:val="009E1582"/>
    <w:rsid w:val="009F69DB"/>
    <w:rsid w:val="00A259E3"/>
    <w:rsid w:val="00A32C7C"/>
    <w:rsid w:val="00A3458B"/>
    <w:rsid w:val="00A36849"/>
    <w:rsid w:val="00A90F2C"/>
    <w:rsid w:val="00A96D05"/>
    <w:rsid w:val="00AB4B0C"/>
    <w:rsid w:val="00AC2B04"/>
    <w:rsid w:val="00AD6D77"/>
    <w:rsid w:val="00AE25AA"/>
    <w:rsid w:val="00AF6E67"/>
    <w:rsid w:val="00B2687B"/>
    <w:rsid w:val="00B31C41"/>
    <w:rsid w:val="00B93639"/>
    <w:rsid w:val="00BA5404"/>
    <w:rsid w:val="00BB5DDA"/>
    <w:rsid w:val="00BB76F5"/>
    <w:rsid w:val="00BD4DFD"/>
    <w:rsid w:val="00BF1961"/>
    <w:rsid w:val="00C451C2"/>
    <w:rsid w:val="00C53598"/>
    <w:rsid w:val="00C61BCC"/>
    <w:rsid w:val="00C827F8"/>
    <w:rsid w:val="00C955FD"/>
    <w:rsid w:val="00C96EC0"/>
    <w:rsid w:val="00CA2AA3"/>
    <w:rsid w:val="00CA41A5"/>
    <w:rsid w:val="00CA5B30"/>
    <w:rsid w:val="00CC4D3B"/>
    <w:rsid w:val="00CD4D3D"/>
    <w:rsid w:val="00CF0438"/>
    <w:rsid w:val="00D063E1"/>
    <w:rsid w:val="00D441ED"/>
    <w:rsid w:val="00D5295D"/>
    <w:rsid w:val="00D64197"/>
    <w:rsid w:val="00D802E2"/>
    <w:rsid w:val="00D8255C"/>
    <w:rsid w:val="00D8739D"/>
    <w:rsid w:val="00DB220F"/>
    <w:rsid w:val="00DC1721"/>
    <w:rsid w:val="00DD0F41"/>
    <w:rsid w:val="00DF671D"/>
    <w:rsid w:val="00E10161"/>
    <w:rsid w:val="00E41663"/>
    <w:rsid w:val="00E43B41"/>
    <w:rsid w:val="00E643E8"/>
    <w:rsid w:val="00E933D9"/>
    <w:rsid w:val="00E953C2"/>
    <w:rsid w:val="00EB0332"/>
    <w:rsid w:val="00EC65F7"/>
    <w:rsid w:val="00EE7D8E"/>
    <w:rsid w:val="00EF0605"/>
    <w:rsid w:val="00EF2897"/>
    <w:rsid w:val="00F22D23"/>
    <w:rsid w:val="00F340BE"/>
    <w:rsid w:val="00F6264F"/>
    <w:rsid w:val="00F66419"/>
    <w:rsid w:val="00F829D1"/>
    <w:rsid w:val="00F909A0"/>
    <w:rsid w:val="00F977D5"/>
    <w:rsid w:val="00FB0950"/>
    <w:rsid w:val="00FB142D"/>
    <w:rsid w:val="00FE658D"/>
    <w:rsid w:val="012073A2"/>
    <w:rsid w:val="01973053"/>
    <w:rsid w:val="01CE7107"/>
    <w:rsid w:val="02033A02"/>
    <w:rsid w:val="027E74CA"/>
    <w:rsid w:val="03846660"/>
    <w:rsid w:val="03946FB6"/>
    <w:rsid w:val="040E2447"/>
    <w:rsid w:val="04714CC0"/>
    <w:rsid w:val="04AD3F7A"/>
    <w:rsid w:val="04DB3C44"/>
    <w:rsid w:val="05E901FB"/>
    <w:rsid w:val="06025F00"/>
    <w:rsid w:val="06BC4688"/>
    <w:rsid w:val="06CC7423"/>
    <w:rsid w:val="07436F98"/>
    <w:rsid w:val="091740CA"/>
    <w:rsid w:val="099A4C40"/>
    <w:rsid w:val="0B0401B9"/>
    <w:rsid w:val="0B3722E9"/>
    <w:rsid w:val="0B6F477F"/>
    <w:rsid w:val="0BE94AFA"/>
    <w:rsid w:val="0C114D3A"/>
    <w:rsid w:val="0C5305F4"/>
    <w:rsid w:val="0CE25932"/>
    <w:rsid w:val="0CF43C8A"/>
    <w:rsid w:val="0D4967B3"/>
    <w:rsid w:val="0DA87EC0"/>
    <w:rsid w:val="0E911E04"/>
    <w:rsid w:val="0F447B05"/>
    <w:rsid w:val="0FAB789B"/>
    <w:rsid w:val="0FE44295"/>
    <w:rsid w:val="0FEC3E14"/>
    <w:rsid w:val="10806873"/>
    <w:rsid w:val="11860F94"/>
    <w:rsid w:val="12A53D1F"/>
    <w:rsid w:val="12F45FA8"/>
    <w:rsid w:val="12F655BF"/>
    <w:rsid w:val="134C146A"/>
    <w:rsid w:val="13D702FD"/>
    <w:rsid w:val="14377FD0"/>
    <w:rsid w:val="14856F74"/>
    <w:rsid w:val="148808AC"/>
    <w:rsid w:val="149C0C39"/>
    <w:rsid w:val="153C3623"/>
    <w:rsid w:val="158840E2"/>
    <w:rsid w:val="15C0748F"/>
    <w:rsid w:val="15D12138"/>
    <w:rsid w:val="15E47C88"/>
    <w:rsid w:val="16174E54"/>
    <w:rsid w:val="16BE53A8"/>
    <w:rsid w:val="16E37F6D"/>
    <w:rsid w:val="16EC742F"/>
    <w:rsid w:val="17480A93"/>
    <w:rsid w:val="17A35DDF"/>
    <w:rsid w:val="182F7669"/>
    <w:rsid w:val="18787EC5"/>
    <w:rsid w:val="18CC2B8B"/>
    <w:rsid w:val="18EF1C9B"/>
    <w:rsid w:val="19BF3DD7"/>
    <w:rsid w:val="19DA7DEE"/>
    <w:rsid w:val="19DC4E83"/>
    <w:rsid w:val="19E84073"/>
    <w:rsid w:val="1A7368C8"/>
    <w:rsid w:val="1A976BB9"/>
    <w:rsid w:val="1AE72CD3"/>
    <w:rsid w:val="1AEF3D03"/>
    <w:rsid w:val="1B7E0E69"/>
    <w:rsid w:val="1C136E65"/>
    <w:rsid w:val="1C4C4278"/>
    <w:rsid w:val="1C9E476B"/>
    <w:rsid w:val="1CA8000B"/>
    <w:rsid w:val="1CC031EA"/>
    <w:rsid w:val="1D1111C8"/>
    <w:rsid w:val="1D796A5E"/>
    <w:rsid w:val="1D800998"/>
    <w:rsid w:val="1D96232B"/>
    <w:rsid w:val="1DDF2CB1"/>
    <w:rsid w:val="1E6264E0"/>
    <w:rsid w:val="1EFA407E"/>
    <w:rsid w:val="1F126151"/>
    <w:rsid w:val="1F61417A"/>
    <w:rsid w:val="1F7B2EE6"/>
    <w:rsid w:val="1FF068CA"/>
    <w:rsid w:val="20363170"/>
    <w:rsid w:val="208A027D"/>
    <w:rsid w:val="214925D1"/>
    <w:rsid w:val="21B878C1"/>
    <w:rsid w:val="21DF74EB"/>
    <w:rsid w:val="22723962"/>
    <w:rsid w:val="22AD1641"/>
    <w:rsid w:val="23DD07B1"/>
    <w:rsid w:val="241C4DDC"/>
    <w:rsid w:val="24545B5D"/>
    <w:rsid w:val="24CD0EEF"/>
    <w:rsid w:val="24D067A5"/>
    <w:rsid w:val="25D030D9"/>
    <w:rsid w:val="26DA4AFE"/>
    <w:rsid w:val="27B95C35"/>
    <w:rsid w:val="27F25F7B"/>
    <w:rsid w:val="28DB3980"/>
    <w:rsid w:val="28F13D86"/>
    <w:rsid w:val="29204D61"/>
    <w:rsid w:val="29F349D6"/>
    <w:rsid w:val="29F563F0"/>
    <w:rsid w:val="2A897264"/>
    <w:rsid w:val="2A9A65A6"/>
    <w:rsid w:val="2AB10CDE"/>
    <w:rsid w:val="2B5E4C67"/>
    <w:rsid w:val="2B97780B"/>
    <w:rsid w:val="2CCB46E5"/>
    <w:rsid w:val="2D2410CF"/>
    <w:rsid w:val="2D344C00"/>
    <w:rsid w:val="2D923C8D"/>
    <w:rsid w:val="2E2A5CB9"/>
    <w:rsid w:val="2E6073FD"/>
    <w:rsid w:val="2E956FE0"/>
    <w:rsid w:val="2EA475C2"/>
    <w:rsid w:val="2F0C37CF"/>
    <w:rsid w:val="2F24002C"/>
    <w:rsid w:val="2F5A1514"/>
    <w:rsid w:val="2F6A6545"/>
    <w:rsid w:val="2FE77C32"/>
    <w:rsid w:val="302C0C9F"/>
    <w:rsid w:val="30C817CC"/>
    <w:rsid w:val="30C84030"/>
    <w:rsid w:val="30EC66DF"/>
    <w:rsid w:val="31727782"/>
    <w:rsid w:val="31AE15C3"/>
    <w:rsid w:val="31E60C8B"/>
    <w:rsid w:val="31FF6CE2"/>
    <w:rsid w:val="32456CC4"/>
    <w:rsid w:val="3311445F"/>
    <w:rsid w:val="33865CDD"/>
    <w:rsid w:val="345E6D06"/>
    <w:rsid w:val="34AC423B"/>
    <w:rsid w:val="34D15C68"/>
    <w:rsid w:val="353A3782"/>
    <w:rsid w:val="3542414B"/>
    <w:rsid w:val="35860E50"/>
    <w:rsid w:val="35BB3EF4"/>
    <w:rsid w:val="369C4E13"/>
    <w:rsid w:val="36A8469E"/>
    <w:rsid w:val="36B1619C"/>
    <w:rsid w:val="36F84CBD"/>
    <w:rsid w:val="384D7457"/>
    <w:rsid w:val="386B0FD9"/>
    <w:rsid w:val="3933479C"/>
    <w:rsid w:val="393869BB"/>
    <w:rsid w:val="396D1326"/>
    <w:rsid w:val="39BC21E0"/>
    <w:rsid w:val="39E4102F"/>
    <w:rsid w:val="3B5222CB"/>
    <w:rsid w:val="3BB5469A"/>
    <w:rsid w:val="3D9E4506"/>
    <w:rsid w:val="3DA60433"/>
    <w:rsid w:val="3ED50BDE"/>
    <w:rsid w:val="3EE1042C"/>
    <w:rsid w:val="3EE2552D"/>
    <w:rsid w:val="3F295722"/>
    <w:rsid w:val="408F1B38"/>
    <w:rsid w:val="4165602A"/>
    <w:rsid w:val="416B0F76"/>
    <w:rsid w:val="417E0D3F"/>
    <w:rsid w:val="42B40A8B"/>
    <w:rsid w:val="431472BE"/>
    <w:rsid w:val="43154769"/>
    <w:rsid w:val="43EB17DA"/>
    <w:rsid w:val="449E6649"/>
    <w:rsid w:val="450C4D75"/>
    <w:rsid w:val="46184524"/>
    <w:rsid w:val="46ED03C2"/>
    <w:rsid w:val="484F252F"/>
    <w:rsid w:val="4862180D"/>
    <w:rsid w:val="48CB7DE0"/>
    <w:rsid w:val="48DE3F2D"/>
    <w:rsid w:val="497F5F49"/>
    <w:rsid w:val="49E1340B"/>
    <w:rsid w:val="4A8A1CA2"/>
    <w:rsid w:val="4B011028"/>
    <w:rsid w:val="4BF62B9B"/>
    <w:rsid w:val="4C661C38"/>
    <w:rsid w:val="4C695DDB"/>
    <w:rsid w:val="4C9A5EA5"/>
    <w:rsid w:val="4CDF3A61"/>
    <w:rsid w:val="4D9A3B9B"/>
    <w:rsid w:val="4DD528AB"/>
    <w:rsid w:val="4DF026E8"/>
    <w:rsid w:val="4E003582"/>
    <w:rsid w:val="4E755E5F"/>
    <w:rsid w:val="4EE2079C"/>
    <w:rsid w:val="4F0E378C"/>
    <w:rsid w:val="4F3D6BB8"/>
    <w:rsid w:val="4F4E509D"/>
    <w:rsid w:val="503D5B3F"/>
    <w:rsid w:val="50447117"/>
    <w:rsid w:val="509715B3"/>
    <w:rsid w:val="51885345"/>
    <w:rsid w:val="52F40A7A"/>
    <w:rsid w:val="53AB37CE"/>
    <w:rsid w:val="54706EE3"/>
    <w:rsid w:val="54781D67"/>
    <w:rsid w:val="54BA6FAE"/>
    <w:rsid w:val="55013876"/>
    <w:rsid w:val="55297417"/>
    <w:rsid w:val="55527E49"/>
    <w:rsid w:val="555F515E"/>
    <w:rsid w:val="56B93F99"/>
    <w:rsid w:val="56C27DEF"/>
    <w:rsid w:val="56FA72B4"/>
    <w:rsid w:val="57322BDA"/>
    <w:rsid w:val="579529A0"/>
    <w:rsid w:val="58A62F16"/>
    <w:rsid w:val="58BE7A1C"/>
    <w:rsid w:val="59772169"/>
    <w:rsid w:val="5ABA692B"/>
    <w:rsid w:val="5B20154B"/>
    <w:rsid w:val="5C4C5F63"/>
    <w:rsid w:val="5CF30946"/>
    <w:rsid w:val="5D014110"/>
    <w:rsid w:val="5DA3099B"/>
    <w:rsid w:val="5DB11630"/>
    <w:rsid w:val="5E0A1CB3"/>
    <w:rsid w:val="5EB85928"/>
    <w:rsid w:val="5ED013E9"/>
    <w:rsid w:val="5F0437D4"/>
    <w:rsid w:val="5F563DE3"/>
    <w:rsid w:val="5FBE15F0"/>
    <w:rsid w:val="5FFE39FF"/>
    <w:rsid w:val="60090E87"/>
    <w:rsid w:val="60AD2485"/>
    <w:rsid w:val="61154026"/>
    <w:rsid w:val="616855EF"/>
    <w:rsid w:val="62B738DE"/>
    <w:rsid w:val="62C45871"/>
    <w:rsid w:val="62E269BE"/>
    <w:rsid w:val="63273FE2"/>
    <w:rsid w:val="633C4553"/>
    <w:rsid w:val="635E1DC8"/>
    <w:rsid w:val="63B306FF"/>
    <w:rsid w:val="63DB6CD0"/>
    <w:rsid w:val="63F8153B"/>
    <w:rsid w:val="648A3DC7"/>
    <w:rsid w:val="64986500"/>
    <w:rsid w:val="64E84C0B"/>
    <w:rsid w:val="666A2CEB"/>
    <w:rsid w:val="666C3C15"/>
    <w:rsid w:val="66B5037B"/>
    <w:rsid w:val="66BF71C4"/>
    <w:rsid w:val="676F0FA5"/>
    <w:rsid w:val="67BF0790"/>
    <w:rsid w:val="680A63DF"/>
    <w:rsid w:val="68A1291D"/>
    <w:rsid w:val="68B76BCA"/>
    <w:rsid w:val="68D12C7B"/>
    <w:rsid w:val="68EA387A"/>
    <w:rsid w:val="68FC3CE7"/>
    <w:rsid w:val="693646B5"/>
    <w:rsid w:val="69B721C8"/>
    <w:rsid w:val="69D35D2D"/>
    <w:rsid w:val="69D45F41"/>
    <w:rsid w:val="6A9B3230"/>
    <w:rsid w:val="6AB6350D"/>
    <w:rsid w:val="6BEE5365"/>
    <w:rsid w:val="6D833919"/>
    <w:rsid w:val="6E0C603E"/>
    <w:rsid w:val="6E5720A4"/>
    <w:rsid w:val="6F100594"/>
    <w:rsid w:val="6F657C10"/>
    <w:rsid w:val="6FAF1154"/>
    <w:rsid w:val="6FB05B67"/>
    <w:rsid w:val="7003626C"/>
    <w:rsid w:val="70241AA7"/>
    <w:rsid w:val="705F3713"/>
    <w:rsid w:val="707E05FA"/>
    <w:rsid w:val="73041F38"/>
    <w:rsid w:val="73222030"/>
    <w:rsid w:val="738003D8"/>
    <w:rsid w:val="76552FDB"/>
    <w:rsid w:val="76B722F6"/>
    <w:rsid w:val="76EC3085"/>
    <w:rsid w:val="77A46809"/>
    <w:rsid w:val="77EE4ADF"/>
    <w:rsid w:val="78B57F31"/>
    <w:rsid w:val="78ED11E9"/>
    <w:rsid w:val="79C42846"/>
    <w:rsid w:val="7A123434"/>
    <w:rsid w:val="7A5B26E7"/>
    <w:rsid w:val="7A610B9B"/>
    <w:rsid w:val="7A6275CC"/>
    <w:rsid w:val="7AB768AA"/>
    <w:rsid w:val="7AFA5663"/>
    <w:rsid w:val="7BF65A6C"/>
    <w:rsid w:val="7C686567"/>
    <w:rsid w:val="7CE0598F"/>
    <w:rsid w:val="7D0B1632"/>
    <w:rsid w:val="7DA37707"/>
    <w:rsid w:val="7DAB739D"/>
    <w:rsid w:val="7DE5123F"/>
    <w:rsid w:val="7E565709"/>
    <w:rsid w:val="7E9D55BD"/>
    <w:rsid w:val="7EBB4BE7"/>
    <w:rsid w:val="7F6A4D24"/>
    <w:rsid w:val="7FBF1496"/>
    <w:rsid w:val="7FDA4D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0"/>
    <w:pPr>
      <w:spacing w:beforeAutospacing="1" w:afterAutospacing="1"/>
      <w:jc w:val="left"/>
      <w:outlineLvl w:val="2"/>
    </w:pPr>
    <w:rPr>
      <w:rFonts w:hint="eastAsia" w:ascii="宋体" w:hAnsi="宋体"/>
      <w:b/>
      <w:kern w:val="0"/>
      <w:sz w:val="27"/>
      <w:szCs w:val="27"/>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Document Map"/>
    <w:basedOn w:val="1"/>
    <w:link w:val="18"/>
    <w:uiPriority w:val="0"/>
    <w:rPr>
      <w:rFonts w:ascii="宋体"/>
      <w:sz w:val="18"/>
      <w:szCs w:val="18"/>
    </w:rPr>
  </w:style>
  <w:style w:type="paragraph" w:styleId="4">
    <w:name w:val="Balloon Text"/>
    <w:basedOn w:val="1"/>
    <w:link w:val="17"/>
    <w:qFormat/>
    <w:uiPriority w:val="0"/>
    <w:rPr>
      <w:sz w:val="18"/>
      <w:szCs w:val="18"/>
    </w:rPr>
  </w:style>
  <w:style w:type="paragraph" w:styleId="5">
    <w:name w:val="footer"/>
    <w:basedOn w:val="1"/>
    <w:link w:val="16"/>
    <w:qFormat/>
    <w:uiPriority w:val="0"/>
    <w:pPr>
      <w:tabs>
        <w:tab w:val="center" w:pos="4153"/>
        <w:tab w:val="right" w:pos="8306"/>
      </w:tabs>
      <w:snapToGrid w:val="0"/>
      <w:jc w:val="left"/>
    </w:pPr>
    <w:rPr>
      <w:sz w:val="18"/>
      <w:szCs w:val="18"/>
    </w:rPr>
  </w:style>
  <w:style w:type="paragraph" w:styleId="6">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uiPriority w:val="99"/>
    <w:pPr>
      <w:widowControl/>
      <w:spacing w:before="100" w:beforeAutospacing="1" w:after="100" w:afterAutospacing="1"/>
      <w:jc w:val="left"/>
    </w:pPr>
    <w:rPr>
      <w:rFonts w:ascii="宋体" w:hAnsi="宋体" w:cs="宋体"/>
      <w:kern w:val="0"/>
      <w:sz w:val="24"/>
    </w:rPr>
  </w:style>
  <w:style w:type="table" w:styleId="9">
    <w:name w:val="Table Grid"/>
    <w:basedOn w:val="8"/>
    <w:unhideWhenUsed/>
    <w:qFormat/>
    <w:uiPriority w:val="9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Strong"/>
    <w:basedOn w:val="10"/>
    <w:qFormat/>
    <w:uiPriority w:val="0"/>
    <w:rPr>
      <w:b/>
    </w:rPr>
  </w:style>
  <w:style w:type="paragraph" w:styleId="12">
    <w:name w:val="List Paragraph"/>
    <w:basedOn w:val="1"/>
    <w:qFormat/>
    <w:uiPriority w:val="34"/>
    <w:pPr>
      <w:ind w:firstLine="420" w:firstLineChars="200"/>
    </w:pPr>
    <w:rPr>
      <w:szCs w:val="22"/>
    </w:rPr>
  </w:style>
  <w:style w:type="paragraph" w:customStyle="1" w:styleId="13">
    <w:name w:val="标准文件_段"/>
    <w:link w:val="1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14">
    <w:name w:val="标准文件_段 Char"/>
    <w:link w:val="13"/>
    <w:qFormat/>
    <w:uiPriority w:val="0"/>
    <w:rPr>
      <w:rFonts w:ascii="宋体"/>
      <w:sz w:val="21"/>
    </w:rPr>
  </w:style>
  <w:style w:type="character" w:customStyle="1" w:styleId="15">
    <w:name w:val="页眉 Char"/>
    <w:basedOn w:val="10"/>
    <w:link w:val="6"/>
    <w:qFormat/>
    <w:uiPriority w:val="0"/>
    <w:rPr>
      <w:rFonts w:ascii="Times New Roman" w:hAnsi="Times New Roman"/>
      <w:kern w:val="2"/>
      <w:sz w:val="18"/>
      <w:szCs w:val="18"/>
    </w:rPr>
  </w:style>
  <w:style w:type="character" w:customStyle="1" w:styleId="16">
    <w:name w:val="页脚 Char"/>
    <w:basedOn w:val="10"/>
    <w:link w:val="5"/>
    <w:qFormat/>
    <w:uiPriority w:val="0"/>
    <w:rPr>
      <w:rFonts w:ascii="Times New Roman" w:hAnsi="Times New Roman"/>
      <w:kern w:val="2"/>
      <w:sz w:val="18"/>
      <w:szCs w:val="18"/>
    </w:rPr>
  </w:style>
  <w:style w:type="character" w:customStyle="1" w:styleId="17">
    <w:name w:val="批注框文本 Char"/>
    <w:basedOn w:val="10"/>
    <w:link w:val="4"/>
    <w:qFormat/>
    <w:uiPriority w:val="0"/>
    <w:rPr>
      <w:rFonts w:ascii="Times New Roman" w:hAnsi="Times New Roman"/>
      <w:kern w:val="2"/>
      <w:sz w:val="18"/>
      <w:szCs w:val="18"/>
    </w:rPr>
  </w:style>
  <w:style w:type="character" w:customStyle="1" w:styleId="18">
    <w:name w:val="文档结构图 Char"/>
    <w:basedOn w:val="10"/>
    <w:link w:val="3"/>
    <w:uiPriority w:val="0"/>
    <w:rPr>
      <w:rFonts w:ascii="宋体"/>
      <w:kern w:val="2"/>
      <w:sz w:val="18"/>
      <w:szCs w:val="18"/>
    </w:rPr>
  </w:style>
  <w:style w:type="paragraph" w:customStyle="1" w:styleId="19">
    <w:name w:val="标准文件_二级条标题"/>
    <w:next w:val="13"/>
    <w:qFormat/>
    <w:uiPriority w:val="0"/>
    <w:pPr>
      <w:widowControl w:val="0"/>
      <w:numPr>
        <w:ilvl w:val="3"/>
        <w:numId w:val="1"/>
      </w:numPr>
      <w:spacing w:beforeLines="50" w:afterLines="50"/>
      <w:jc w:val="both"/>
      <w:outlineLvl w:val="2"/>
    </w:pPr>
    <w:rPr>
      <w:rFonts w:ascii="黑体" w:hAnsi="Times New Roman" w:eastAsia="黑体" w:cs="Times New Roman"/>
      <w:sz w:val="21"/>
      <w:lang w:val="en-US" w:eastAsia="zh-CN" w:bidi="ar-SA"/>
    </w:rPr>
  </w:style>
  <w:style w:type="paragraph" w:customStyle="1" w:styleId="20">
    <w:name w:val="标准文件_三级条标题"/>
    <w:basedOn w:val="19"/>
    <w:next w:val="13"/>
    <w:qFormat/>
    <w:uiPriority w:val="0"/>
    <w:pPr>
      <w:widowControl/>
      <w:numPr>
        <w:ilvl w:val="4"/>
      </w:numPr>
      <w:outlineLvl w:val="3"/>
    </w:pPr>
  </w:style>
  <w:style w:type="paragraph" w:customStyle="1" w:styleId="21">
    <w:name w:val="标准文件_四级条标题"/>
    <w:next w:val="13"/>
    <w:qFormat/>
    <w:uiPriority w:val="0"/>
    <w:pPr>
      <w:widowControl w:val="0"/>
      <w:numPr>
        <w:ilvl w:val="5"/>
        <w:numId w:val="1"/>
      </w:numPr>
      <w:spacing w:beforeLines="50" w:afterLines="50"/>
      <w:jc w:val="both"/>
      <w:outlineLvl w:val="4"/>
    </w:pPr>
    <w:rPr>
      <w:rFonts w:ascii="黑体" w:hAnsi="Times New Roman" w:eastAsia="黑体" w:cs="Times New Roman"/>
      <w:sz w:val="21"/>
      <w:lang w:val="en-US" w:eastAsia="zh-CN" w:bidi="ar-SA"/>
    </w:rPr>
  </w:style>
  <w:style w:type="paragraph" w:customStyle="1" w:styleId="22">
    <w:name w:val="标准文件_五级条标题"/>
    <w:next w:val="13"/>
    <w:qFormat/>
    <w:uiPriority w:val="0"/>
    <w:pPr>
      <w:widowControl w:val="0"/>
      <w:numPr>
        <w:ilvl w:val="6"/>
        <w:numId w:val="1"/>
      </w:numPr>
      <w:spacing w:beforeLines="50" w:afterLines="50"/>
      <w:jc w:val="both"/>
      <w:outlineLvl w:val="5"/>
    </w:pPr>
    <w:rPr>
      <w:rFonts w:ascii="黑体" w:hAnsi="Times New Roman" w:eastAsia="黑体" w:cs="Times New Roman"/>
      <w:sz w:val="21"/>
      <w:lang w:val="en-US" w:eastAsia="zh-CN" w:bidi="ar-SA"/>
    </w:rPr>
  </w:style>
  <w:style w:type="paragraph" w:customStyle="1" w:styleId="23">
    <w:name w:val="标准文件_章标题"/>
    <w:next w:val="13"/>
    <w:qFormat/>
    <w:uiPriority w:val="0"/>
    <w:pPr>
      <w:numPr>
        <w:ilvl w:val="1"/>
        <w:numId w:val="1"/>
      </w:numPr>
      <w:spacing w:beforeLines="100" w:afterLines="100"/>
      <w:jc w:val="both"/>
      <w:outlineLvl w:val="0"/>
    </w:pPr>
    <w:rPr>
      <w:rFonts w:ascii="黑体" w:hAnsi="Times New Roman" w:eastAsia="黑体" w:cs="Times New Roman"/>
      <w:sz w:val="21"/>
      <w:lang w:val="en-US" w:eastAsia="zh-CN" w:bidi="ar-SA"/>
    </w:rPr>
  </w:style>
  <w:style w:type="paragraph" w:customStyle="1" w:styleId="24">
    <w:name w:val="标准文件_一级条标题"/>
    <w:basedOn w:val="23"/>
    <w:next w:val="13"/>
    <w:qFormat/>
    <w:uiPriority w:val="0"/>
    <w:pPr>
      <w:numPr>
        <w:ilvl w:val="2"/>
      </w:numPr>
      <w:spacing w:beforeLines="50" w:afterLines="50"/>
      <w:outlineLvl w:val="1"/>
    </w:pPr>
  </w:style>
  <w:style w:type="paragraph" w:customStyle="1" w:styleId="25">
    <w:name w:val="前言标题"/>
    <w:next w:val="1"/>
    <w:qFormat/>
    <w:uiPriority w:val="0"/>
    <w:pPr>
      <w:numPr>
        <w:ilvl w:val="0"/>
        <w:numId w:val="1"/>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26">
    <w:name w:val="标准文件_术语条一"/>
    <w:basedOn w:val="1"/>
    <w:next w:val="13"/>
    <w:qFormat/>
    <w:uiPriority w:val="0"/>
    <w:pPr>
      <w:widowControl/>
      <w:numPr>
        <w:ilvl w:val="2"/>
        <w:numId w:val="2"/>
      </w:numPr>
    </w:pPr>
    <w:rPr>
      <w:rFonts w:ascii="宋体"/>
      <w:kern w:val="0"/>
      <w:szCs w:val="20"/>
    </w:rPr>
  </w:style>
  <w:style w:type="paragraph" w:customStyle="1" w:styleId="27">
    <w:name w:val="列项——（一级）"/>
    <w:uiPriority w:val="0"/>
    <w:pPr>
      <w:widowControl w:val="0"/>
      <w:numPr>
        <w:ilvl w:val="0"/>
        <w:numId w:val="3"/>
      </w:numPr>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733</Words>
  <Characters>4181</Characters>
  <Lines>34</Lines>
  <Paragraphs>9</Paragraphs>
  <TotalTime>688</TotalTime>
  <ScaleCrop>false</ScaleCrop>
  <LinksUpToDate>false</LinksUpToDate>
  <CharactersWithSpaces>4905</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2020-12-08T06:37:00Z</dcterms:created>
  <dc:creator>Administrator</dc:creator>
  <cp:lastModifiedBy>酒满</cp:lastModifiedBy>
  <dcterms:modified xsi:type="dcterms:W3CDTF">2021-04-13T08:38:36Z</dcterms:modified>
  <cp:revision>188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42F2E16E89B54AD0B0644006791FC206</vt:lpwstr>
  </property>
</Properties>
</file>